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40D" w:rsidRDefault="0095680B">
      <w:r>
        <w:t>Supplementary</w:t>
      </w:r>
      <w:r w:rsidR="00171066">
        <w:t xml:space="preserve"> file</w:t>
      </w:r>
    </w:p>
    <w:p w:rsidR="00FC2EEA" w:rsidRDefault="00FC2EEA" w:rsidP="00FC2EEA">
      <w:pPr>
        <w:rPr>
          <w:b/>
          <w:bCs/>
          <w:noProof/>
        </w:rPr>
      </w:pPr>
      <w:r>
        <w:rPr>
          <w:b/>
          <w:bCs/>
          <w:noProof/>
        </w:rPr>
        <w:t>Table S1</w:t>
      </w:r>
      <w:r w:rsidR="006E0BCD">
        <w:rPr>
          <w:b/>
          <w:bCs/>
          <w:noProof/>
        </w:rPr>
        <w:t xml:space="preserve">: </w:t>
      </w:r>
      <w:r w:rsidRPr="00FC2EEA">
        <w:rPr>
          <w:b/>
          <w:bCs/>
          <w:noProof/>
        </w:rPr>
        <w:t>Comparative studies on the adsorption capacities of other reported adsorbents.</w:t>
      </w:r>
      <w:bookmarkStart w:id="0" w:name="_GoBack"/>
      <w:bookmarkEnd w:id="0"/>
    </w:p>
    <w:tbl>
      <w:tblPr>
        <w:tblStyle w:val="TableGrid1"/>
        <w:tblpPr w:leftFromText="180" w:rightFromText="180" w:vertAnchor="text" w:horzAnchor="margin" w:tblpXSpec="center" w:tblpY="71"/>
        <w:tblW w:w="8838" w:type="dxa"/>
        <w:tblLook w:val="04A0" w:firstRow="1" w:lastRow="0" w:firstColumn="1" w:lastColumn="0" w:noHBand="0" w:noVBand="1"/>
      </w:tblPr>
      <w:tblGrid>
        <w:gridCol w:w="2464"/>
        <w:gridCol w:w="1694"/>
        <w:gridCol w:w="2430"/>
        <w:gridCol w:w="2250"/>
      </w:tblGrid>
      <w:tr w:rsidR="005746FB" w:rsidRPr="005746FB" w:rsidTr="005C669D">
        <w:trPr>
          <w:trHeight w:val="466"/>
        </w:trPr>
        <w:tc>
          <w:tcPr>
            <w:tcW w:w="2464" w:type="dxa"/>
          </w:tcPr>
          <w:p w:rsidR="005746FB" w:rsidRPr="005746FB" w:rsidRDefault="005746FB" w:rsidP="005746FB">
            <w:pPr>
              <w:spacing w:line="360" w:lineRule="auto"/>
              <w:jc w:val="center"/>
              <w:rPr>
                <w:rFonts w:ascii="Times New Roman" w:hAnsi="Times New Roman" w:cs="Times New Roman"/>
                <w:b/>
                <w:szCs w:val="24"/>
              </w:rPr>
            </w:pPr>
            <w:r w:rsidRPr="005746FB">
              <w:rPr>
                <w:rFonts w:ascii="Times New Roman" w:hAnsi="Times New Roman" w:cs="Times New Roman"/>
                <w:b/>
                <w:szCs w:val="24"/>
              </w:rPr>
              <w:t>Adsorbent</w:t>
            </w:r>
          </w:p>
        </w:tc>
        <w:tc>
          <w:tcPr>
            <w:tcW w:w="1694" w:type="dxa"/>
          </w:tcPr>
          <w:p w:rsidR="005746FB" w:rsidRPr="005746FB" w:rsidRDefault="005746FB" w:rsidP="005746FB">
            <w:pPr>
              <w:spacing w:line="360" w:lineRule="auto"/>
              <w:jc w:val="center"/>
              <w:rPr>
                <w:rFonts w:ascii="Times New Roman" w:hAnsi="Times New Roman" w:cs="Times New Roman"/>
                <w:b/>
                <w:szCs w:val="24"/>
              </w:rPr>
            </w:pPr>
            <w:r w:rsidRPr="005746FB">
              <w:rPr>
                <w:rFonts w:ascii="Times New Roman" w:hAnsi="Times New Roman" w:cs="Times New Roman"/>
                <w:b/>
                <w:szCs w:val="24"/>
              </w:rPr>
              <w:t>pH</w:t>
            </w:r>
          </w:p>
        </w:tc>
        <w:tc>
          <w:tcPr>
            <w:tcW w:w="2430" w:type="dxa"/>
          </w:tcPr>
          <w:p w:rsidR="005746FB" w:rsidRPr="005746FB" w:rsidRDefault="005746FB" w:rsidP="005746FB">
            <w:pPr>
              <w:spacing w:line="360" w:lineRule="auto"/>
              <w:jc w:val="center"/>
              <w:rPr>
                <w:rFonts w:ascii="Times New Roman" w:hAnsi="Times New Roman" w:cs="Times New Roman"/>
                <w:b/>
                <w:szCs w:val="24"/>
              </w:rPr>
            </w:pPr>
            <w:proofErr w:type="spellStart"/>
            <w:r w:rsidRPr="005746FB">
              <w:rPr>
                <w:rFonts w:ascii="Times New Roman" w:hAnsi="Times New Roman" w:cs="Times New Roman"/>
                <w:b/>
                <w:szCs w:val="24"/>
              </w:rPr>
              <w:t>q</w:t>
            </w:r>
            <w:r w:rsidRPr="005746FB">
              <w:rPr>
                <w:rFonts w:ascii="Times New Roman" w:hAnsi="Times New Roman" w:cs="Times New Roman"/>
                <w:b/>
                <w:szCs w:val="24"/>
                <w:vertAlign w:val="subscript"/>
              </w:rPr>
              <w:t>max</w:t>
            </w:r>
            <w:proofErr w:type="spellEnd"/>
            <w:r w:rsidRPr="005746FB">
              <w:rPr>
                <w:rFonts w:ascii="Times New Roman" w:hAnsi="Times New Roman" w:cs="Times New Roman"/>
                <w:b/>
                <w:szCs w:val="24"/>
              </w:rPr>
              <w:t xml:space="preserve"> (mg/g)</w:t>
            </w:r>
          </w:p>
        </w:tc>
        <w:tc>
          <w:tcPr>
            <w:tcW w:w="2250" w:type="dxa"/>
          </w:tcPr>
          <w:p w:rsidR="005746FB" w:rsidRPr="005746FB" w:rsidRDefault="005746FB" w:rsidP="005746FB">
            <w:pPr>
              <w:spacing w:line="360" w:lineRule="auto"/>
              <w:jc w:val="center"/>
              <w:rPr>
                <w:rFonts w:ascii="Times New Roman" w:hAnsi="Times New Roman" w:cs="Times New Roman"/>
                <w:b/>
                <w:szCs w:val="24"/>
              </w:rPr>
            </w:pPr>
            <w:r w:rsidRPr="005746FB">
              <w:rPr>
                <w:rFonts w:ascii="Times New Roman" w:hAnsi="Times New Roman" w:cs="Times New Roman"/>
                <w:b/>
                <w:szCs w:val="24"/>
              </w:rPr>
              <w:t>Reference</w:t>
            </w:r>
          </w:p>
        </w:tc>
      </w:tr>
      <w:tr w:rsidR="005746FB" w:rsidRPr="005746FB" w:rsidTr="005C669D">
        <w:trPr>
          <w:trHeight w:val="483"/>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Graphene Oxide</w:t>
            </w:r>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3</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313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fldChar w:fldCharType="begin" w:fldLock="1"/>
            </w:r>
            <w:r w:rsidRPr="005746FB">
              <w:rPr>
                <w:rFonts w:ascii="Times New Roman" w:hAnsi="Times New Roman" w:cs="Times New Roman"/>
                <w:szCs w:val="24"/>
              </w:rPr>
              <w:instrText>ADDIN CSL_CITATION {"citationItems":[{"id":"ITEM-1","itemData":{"DOI":"10.1016/j.jcis.2011.11.015","ISSN":"00219797","PMID":"22138269","abstract":"Significant concerns have been raised over pollution of antibiotics including tetracyclines in aquatic environments in recent years. Graphene oxide (GO) is a potential effective absorbent for tetracycline antibiotics and can be used to remove them from aqueous solution. Tetracycline strongly deposited on the GO surface via π-π interaction and cation-π bonding. The adsorption isotherm fits Langmuir and Temkin models well, and the theoretical maximum of adsorption capacity calculated by Langmuir model is 313mgg -1, which is approximately in a close agreement with the measured data. The kinetics of adsorption fits pseudo-second-order model perfectly, and it has a better rate constant of sorption (k), 0.065gmg -1h -1, than other adsorbents. The adsorption capacities of tetracycline on GO decreased with the increase in pH or Na + concentration. The adsorption isotherms of oxytetracycline and doxycycline on GO were discussed and compared. © 2011.","author":[{"dropping-particle":"","family":"Gao","given":"Yuan","non-dropping-particle":"","parse-names":false,"suffix":""},{"dropping-particle":"","family":"Li","given":"Yan","non-dropping-particle":"","parse-names":false,"suffix":""},{"dropping-particle":"","family":"Zhang","given":"Liang","non-dropping-particle":"","parse-names":false,"suffix":""},{"dropping-particle":"","family":"Huang","given":"Hui","non-dropping-particle":"","parse-names":false,"suffix":""},{"dropping-particle":"","family":"Hu","given":"Junjie","non-dropping-particle":"","parse-names":false,"suffix":""},{"dropping-particle":"","family":"Shah","given":"Syed Mazhar","non-dropping-particle":"","parse-names":false,"suffix":""},{"dropping-particle":"","family":"Su","given":"Xingguang","non-dropping-particle":"","parse-names":false,"suffix":""}],"container-title":"Journal of Colloid and Interface Science","id":"ITEM-1","issue":"1","issued":{"date-parts":[["2012"]]},"page":"540-546","publisher":"Elsevier Inc.","title":"Adsorption and removal of tetracycline antibiotics from aqueous solution by graphene oxide","type":"article-journal","volume":"368"},"uris":["http://www.mendeley.com/documents/?uuid=8f8b5ac9-60da-4870-a854-9ffccb92718a"]}],"mendeley":{"formattedCitation":"(Gao et al., 2012)","plainTextFormattedCitation":"(Gao et al., 2012)","previouslyFormattedCitation":"(Gao et al., 2012)"},"properties":{"noteIndex":0},"schema":"https://github.com/citation-style-language/schema/raw/master/csl-citation.json"}</w:instrText>
            </w:r>
            <w:r w:rsidRPr="005746FB">
              <w:rPr>
                <w:rFonts w:ascii="Times New Roman" w:hAnsi="Times New Roman" w:cs="Times New Roman"/>
                <w:szCs w:val="24"/>
              </w:rPr>
              <w:fldChar w:fldCharType="separate"/>
            </w:r>
            <w:r w:rsidRPr="005746FB">
              <w:rPr>
                <w:rFonts w:ascii="Times New Roman" w:hAnsi="Times New Roman" w:cs="Times New Roman"/>
                <w:noProof/>
                <w:szCs w:val="24"/>
              </w:rPr>
              <w:t>(</w:t>
            </w:r>
            <w:r w:rsidRPr="005746FB">
              <w:rPr>
                <w:rFonts w:ascii="Times New Roman" w:hAnsi="Times New Roman" w:cs="Times New Roman"/>
                <w:noProof/>
                <w:color w:val="548DD4" w:themeColor="text2" w:themeTint="99"/>
                <w:szCs w:val="24"/>
              </w:rPr>
              <w:t>Gao et al., 2012</w:t>
            </w:r>
            <w:r w:rsidRPr="005746FB">
              <w:rPr>
                <w:rFonts w:ascii="Times New Roman" w:hAnsi="Times New Roman" w:cs="Times New Roman"/>
                <w:noProof/>
                <w:szCs w:val="24"/>
              </w:rPr>
              <w:t>)</w:t>
            </w:r>
            <w:r w:rsidRPr="005746FB">
              <w:rPr>
                <w:rFonts w:ascii="Times New Roman" w:hAnsi="Times New Roman" w:cs="Times New Roman"/>
                <w:szCs w:val="24"/>
              </w:rPr>
              <w:fldChar w:fldCharType="end"/>
            </w:r>
          </w:p>
        </w:tc>
      </w:tr>
      <w:tr w:rsidR="005746FB" w:rsidRPr="005746FB" w:rsidTr="005C669D">
        <w:trPr>
          <w:trHeight w:val="949"/>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Cu-immobilized alginate adsorbent</w:t>
            </w:r>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3</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58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fldChar w:fldCharType="begin" w:fldLock="1"/>
            </w:r>
            <w:r w:rsidRPr="005746FB">
              <w:rPr>
                <w:rFonts w:ascii="Times New Roman" w:hAnsi="Times New Roman" w:cs="Times New Roman"/>
                <w:szCs w:val="24"/>
              </w:rPr>
              <w:instrText>ADDIN CSL_CITATION {"citationItems":[{"id":"ITEM-1","itemData":{"DOI":"10.1016/j.ijbiomac.2018.11.218","ISSN":"18790003","PMID":"30496862","abstract":"Widespread concern had been given raise to the pollution of antibiotics including tetracyclines in water environment in recent years. A novel Cu-immobilized alginate adsorbent had been synthesized successfully through a facile fabrication way called sol-gel method, and its adsorption performance had been investigated for the tetracycline removal at various conditions, including the pH, temperature, the dosage of adsorbent, concentration and contact time. The adsorbent was characterized with SEM, EDX, FT-IR and XPS analyses to confirm its properties before and after adsorption. The equilibrium data was fitted well with the Freundlich isotherm model and the maximum adsorption capacity for tetracycline was 53.26 mg·g−1 at pH 3, 318.15 K, and 90 mg·L−1 tetracycline solution. The pseudo-second-order kinetic and Freundlich isotherm models combining with the correlative analysis implied that the tetracycline adsorption onto the Cu-immobilized alginate adsorbent was administrated by the n-π electron-donor-acceptor interaction (n-π EDA interaction), hydrogen bond and the cation bonding bridge. Moreover, thermodynamic study demonstrated that the nature of tetracycline adsorption was endothermic, feasible and spontaneous. Compared with the other adsorbents, the as-prepared adsorbent had an excellent tetracycline adsorption capacity, and was expected to be widely applied in the adsorption treatment of tetracycline wastewater.","author":[{"dropping-particle":"","family":"Zhang","given":"Xiaonuo","non-dropping-particle":"","parse-names":false,"suffix":""},{"dropping-particle":"","family":"Lin","given":"Xiaoyan","non-dropping-particle":"","parse-names":false,"suffix":""},{"dropping-particle":"","family":"He","given":"Yu","non-dropping-particle":"","parse-names":false,"suffix":""},{"dropping-particle":"","family":"Chen","given":"Yan","non-dropping-particle":"","parse-names":false,"suffix":""},{"dropping-particle":"","family":"Luo","given":"Xuegang","non-dropping-particle":"","parse-names":false,"suffix":""},{"dropping-particle":"","family":"Shang","given":"Ran","non-dropping-particle":"","parse-names":false,"suffix":""}],"container-title":"International Journal of Biological Macromolecules","id":"ITEM-1","issued":{"date-parts":[["2019"]]},"page":"418-428","title":"Study on adsorption of tetracycline by Cu-immobilized alginate adsorbent from water environment","type":"article-journal","volume":"124"},"uris":["http://www.mendeley.com/documents/?uuid=07b57b69-6e99-4016-9991-b899e4207dc4"]}],"mendeley":{"formattedCitation":"(Zhang et al., 2019)","plainTextFormattedCitation":"(Zhang et al., 2019)","previouslyFormattedCitation":"(Zhang et al., 2019)"},"properties":{"noteIndex":0},"schema":"https://github.com/citation-style-language/schema/raw/master/csl-citation.json"}</w:instrText>
            </w:r>
            <w:r w:rsidRPr="005746FB">
              <w:rPr>
                <w:rFonts w:ascii="Times New Roman" w:hAnsi="Times New Roman" w:cs="Times New Roman"/>
                <w:szCs w:val="24"/>
              </w:rPr>
              <w:fldChar w:fldCharType="separate"/>
            </w:r>
            <w:r w:rsidRPr="005746FB">
              <w:rPr>
                <w:rFonts w:ascii="Times New Roman" w:hAnsi="Times New Roman" w:cs="Times New Roman"/>
                <w:noProof/>
                <w:szCs w:val="24"/>
              </w:rPr>
              <w:t>(</w:t>
            </w:r>
            <w:r w:rsidRPr="005746FB">
              <w:rPr>
                <w:rFonts w:ascii="Times New Roman" w:hAnsi="Times New Roman" w:cs="Times New Roman"/>
                <w:noProof/>
                <w:color w:val="548DD4" w:themeColor="text2" w:themeTint="99"/>
                <w:szCs w:val="24"/>
              </w:rPr>
              <w:t>Zhang et al., 2019</w:t>
            </w:r>
            <w:r w:rsidRPr="005746FB">
              <w:rPr>
                <w:rFonts w:ascii="Times New Roman" w:hAnsi="Times New Roman" w:cs="Times New Roman"/>
                <w:noProof/>
                <w:szCs w:val="24"/>
              </w:rPr>
              <w:t>)</w:t>
            </w:r>
            <w:r w:rsidRPr="005746FB">
              <w:rPr>
                <w:rFonts w:ascii="Times New Roman" w:hAnsi="Times New Roman" w:cs="Times New Roman"/>
                <w:szCs w:val="24"/>
              </w:rPr>
              <w:fldChar w:fldCharType="end"/>
            </w:r>
          </w:p>
        </w:tc>
      </w:tr>
      <w:tr w:rsidR="005746FB" w:rsidRPr="005746FB" w:rsidTr="005C669D">
        <w:trPr>
          <w:trHeight w:val="966"/>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Porous adsorbent</w:t>
            </w:r>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Natural pH</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330.59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fldChar w:fldCharType="begin" w:fldLock="1"/>
            </w:r>
            <w:r w:rsidRPr="005746FB">
              <w:rPr>
                <w:rFonts w:ascii="Times New Roman" w:hAnsi="Times New Roman" w:cs="Times New Roman"/>
                <w:szCs w:val="24"/>
              </w:rPr>
              <w:instrText>ADDIN CSL_CITATION {"citationItems":[{"id":"ITEM-1","itemData":{"DOI":"10.1016/j.jes.2020.09.010","ISSN":"18787320","PMID":"33637260","abstract":"The aqueous foam template without any solvent and only using the particles stabilizer has attracted much attention for preparation of the porous adsorbents. Herein, a novel porous adsorbent was fabricated via thermal-initiated polymerization of Pickering aqueous foams, which was stabilized by the natural sepiolite (Sep) and pine pollen, and utilized for the removal of antibiotic from aqueous solution. The stabilizing mechanism of Pickering aqueous foam of that the Sep was modified with the leaching substance from pine pollen and arranged orderly around the bubble to form a dense “shell” structure was revealed. The adsorbents possessed the hierarchical porous structure and excellent adsorption performance for antibiotic of chlorotetracycline hydrochloride (CTC) and tetracycline hydrochloride (TC). The equilibrium adsorption capacities of CTC and TC were achieved with 465.59 and 330.59 mg/g within 60 min at 25°C, respectively. The adsorption process obeyed Langmuir model and pseudo-second-order adsorption kinetic model. This work provided eco-friendly approach for fabricate porous adsorbents for wastewater treatment.","author":[{"dropping-particle":"","family":"Yu","given":"Hui","non-dropping-particle":"","parse-names":false,"suffix":""},{"dropping-particle":"","family":"Zhu","given":"Yongfeng","non-dropping-particle":"","parse-names":false,"suffix":""},{"dropping-particle":"","family":"Hui","given":"Aiping","non-dropping-particle":"","parse-names":false,"suffix":""},{"dropping-particle":"","family":"Yang","given":"Fangfang","non-dropping-particle":"","parse-names":false,"suffix":""},{"dropping-particle":"","family":"Wang","given":"Aiqin","non-dropping-particle":"","parse-names":false,"suffix":""}],"container-title":"Journal of Environmental Sciences (China)","id":"ITEM-1","issued":{"date-parts":[["2021"]]},"page":"352-362","publisher":"Elsevier B.V.","title":"Removal of antibiotics from aqueous solution by using porous adsorbent templated from eco-friendly Pickering aqueous foams","type":"article-journal","volume":"102"},"uris":["http://www.mendeley.com/documents/?uuid=d3733896-2eb2-4225-a792-c42075d49f41"]}],"mendeley":{"formattedCitation":"(Yu et al., 2021)","plainTextFormattedCitation":"(Yu et al., 2021)","previouslyFormattedCitation":"(Yu et al., 2021)"},"properties":{"noteIndex":0},"schema":"https://github.com/citation-style-language/schema/raw/master/csl-citation.json"}</w:instrText>
            </w:r>
            <w:r w:rsidRPr="005746FB">
              <w:rPr>
                <w:rFonts w:ascii="Times New Roman" w:hAnsi="Times New Roman" w:cs="Times New Roman"/>
                <w:szCs w:val="24"/>
              </w:rPr>
              <w:fldChar w:fldCharType="separate"/>
            </w:r>
            <w:r w:rsidRPr="005746FB">
              <w:rPr>
                <w:rFonts w:ascii="Times New Roman" w:hAnsi="Times New Roman" w:cs="Times New Roman"/>
                <w:noProof/>
                <w:szCs w:val="24"/>
              </w:rPr>
              <w:t>(</w:t>
            </w:r>
            <w:r w:rsidRPr="005746FB">
              <w:rPr>
                <w:rFonts w:ascii="Times New Roman" w:hAnsi="Times New Roman" w:cs="Times New Roman"/>
                <w:noProof/>
                <w:color w:val="548DD4" w:themeColor="text2" w:themeTint="99"/>
                <w:szCs w:val="24"/>
              </w:rPr>
              <w:t>Yu et al., 2021</w:t>
            </w:r>
            <w:r w:rsidRPr="005746FB">
              <w:rPr>
                <w:rFonts w:ascii="Times New Roman" w:hAnsi="Times New Roman" w:cs="Times New Roman"/>
                <w:noProof/>
                <w:szCs w:val="24"/>
              </w:rPr>
              <w:t>)</w:t>
            </w:r>
            <w:r w:rsidRPr="005746FB">
              <w:rPr>
                <w:rFonts w:ascii="Times New Roman" w:hAnsi="Times New Roman" w:cs="Times New Roman"/>
                <w:szCs w:val="24"/>
              </w:rPr>
              <w:fldChar w:fldCharType="end"/>
            </w:r>
          </w:p>
        </w:tc>
      </w:tr>
      <w:tr w:rsidR="005746FB" w:rsidRPr="005746FB" w:rsidTr="005C669D">
        <w:trPr>
          <w:trHeight w:val="767"/>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 xml:space="preserve">nano-zero </w:t>
            </w:r>
            <w:proofErr w:type="spellStart"/>
            <w:r w:rsidRPr="005746FB">
              <w:rPr>
                <w:rFonts w:ascii="Times New Roman" w:hAnsi="Times New Roman" w:cs="Times New Roman"/>
                <w:szCs w:val="24"/>
              </w:rPr>
              <w:t>valent</w:t>
            </w:r>
            <w:proofErr w:type="spellEnd"/>
            <w:r w:rsidRPr="005746FB">
              <w:rPr>
                <w:rFonts w:ascii="Times New Roman" w:hAnsi="Times New Roman" w:cs="Times New Roman"/>
                <w:szCs w:val="24"/>
              </w:rPr>
              <w:t xml:space="preserve"> iron (</w:t>
            </w:r>
            <w:proofErr w:type="spellStart"/>
            <w:r w:rsidRPr="005746FB">
              <w:rPr>
                <w:rFonts w:ascii="Times New Roman" w:hAnsi="Times New Roman" w:cs="Times New Roman"/>
                <w:szCs w:val="24"/>
              </w:rPr>
              <w:t>nZVI</w:t>
            </w:r>
            <w:proofErr w:type="spellEnd"/>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6</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72.64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fldChar w:fldCharType="begin" w:fldLock="1"/>
            </w:r>
            <w:r w:rsidRPr="005746FB">
              <w:rPr>
                <w:rFonts w:ascii="Times New Roman" w:hAnsi="Times New Roman" w:cs="Times New Roman"/>
                <w:szCs w:val="24"/>
              </w:rPr>
              <w:instrText>ADDIN CSL_CITATION {"citationItems":[{"id":"ITEM-1","itemData":{"DOI":"10.1016/j.jscs.2021.101365","ISSN":"13196103","abstract":"Recently, nano-zero valent iron (nZVI) has been identified as one of the most promising materials for the removal of a wide range of pharmaceuticals in water. However, nZVI effectiveness in aqueous media is dramatically reduced due to its aggregation and instability. To overcome these problems, castor oil (Ricinus communis Linn.) leaves aqueous extract has been used in this study as a reducing and stabilizing agent to increase the stability of nZVI. The fabricated RCL-nZVI was well characterized using several spectroscopic techniques, e.g., steady-state absorption and fluorescence, SEM, TEM, FTIR, EDS, XRD, XPS, and zeta potential. The green phytosynthesized RCL-nZVI was examined in the adsorptive removal of tetracycline (TC). It was interesting to see that the removal efficiency of TC by RCL-nZVI reached 98% at pH 6 and 25 °C. The efficient removal of TC from the aqueous solution was in accordance with the pseudo-second-order kinetic model and well fitted to Langmuir model with a maximum adsorption capacity of 72.64 mg. g−1. In this study, a plausible removal mechanism was discussed, which primarily involves both adsorption and reduction pathways.","author":[{"dropping-particle":"","family":"Abdelfatah","given":"Ahmed M.","non-dropping-particle":"","parse-names":false,"suffix":""},{"dropping-particle":"","family":"Fawzy","given":"Manal","non-dropping-particle":"","parse-names":false,"suffix":""},{"dropping-particle":"","family":"El-Khouly","given":"Mohamed E.","non-dropping-particle":"","parse-names":false,"suffix":""},{"dropping-particle":"","family":"Eltaweil","given":"Abdelazeem S.","non-dropping-particle":"","parse-names":false,"suffix":""}],"container-title":"Journal of Saudi Chemical Society","id":"ITEM-1","issue":"12","issued":{"date-parts":[["2021"]]},"page":"101365","publisher":"The Author(s)","title":"Efficient adsorptive removal of tetracycline from aqueous solution using phytosynthesized nano-zero valent iron","type":"article-journal","volume":"25"},"uris":["http://www.mendeley.com/documents/?uuid=9c801f19-8553-4b34-a530-832bc6c5ab9f"]}],"mendeley":{"formattedCitation":"(Abdelfatah et al., 2021)","plainTextFormattedCitation":"(Abdelfatah et al., 2021)","previouslyFormattedCitation":"(Abdelfatah et al., 2021)"},"properties":{"noteIndex":0},"schema":"https://github.com/citation-style-language/schema/raw/master/csl-citation.json"}</w:instrText>
            </w:r>
            <w:r w:rsidRPr="005746FB">
              <w:rPr>
                <w:rFonts w:ascii="Times New Roman" w:hAnsi="Times New Roman" w:cs="Times New Roman"/>
                <w:szCs w:val="24"/>
              </w:rPr>
              <w:fldChar w:fldCharType="separate"/>
            </w:r>
            <w:r w:rsidRPr="005746FB">
              <w:rPr>
                <w:rFonts w:ascii="Times New Roman" w:hAnsi="Times New Roman" w:cs="Times New Roman"/>
                <w:noProof/>
                <w:szCs w:val="24"/>
              </w:rPr>
              <w:t>(</w:t>
            </w:r>
            <w:r w:rsidRPr="005746FB">
              <w:rPr>
                <w:rFonts w:ascii="Times New Roman" w:hAnsi="Times New Roman" w:cs="Times New Roman"/>
                <w:noProof/>
                <w:color w:val="548DD4" w:themeColor="text2" w:themeTint="99"/>
                <w:szCs w:val="24"/>
              </w:rPr>
              <w:t>Abdelfatah et al., 2021</w:t>
            </w:r>
            <w:r w:rsidRPr="005746FB">
              <w:rPr>
                <w:rFonts w:ascii="Times New Roman" w:hAnsi="Times New Roman" w:cs="Times New Roman"/>
                <w:noProof/>
                <w:szCs w:val="24"/>
              </w:rPr>
              <w:t>)</w:t>
            </w:r>
            <w:r w:rsidRPr="005746FB">
              <w:rPr>
                <w:rFonts w:ascii="Times New Roman" w:hAnsi="Times New Roman" w:cs="Times New Roman"/>
                <w:szCs w:val="24"/>
              </w:rPr>
              <w:fldChar w:fldCharType="end"/>
            </w:r>
          </w:p>
        </w:tc>
      </w:tr>
      <w:tr w:rsidR="005746FB" w:rsidRPr="005746FB" w:rsidTr="005C669D">
        <w:trPr>
          <w:trHeight w:val="483"/>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Cu/β-CD/</w:t>
            </w:r>
            <w:proofErr w:type="spellStart"/>
            <w:r w:rsidRPr="005746FB">
              <w:rPr>
                <w:rFonts w:ascii="Times New Roman" w:hAnsi="Times New Roman" w:cs="Times New Roman"/>
                <w:szCs w:val="24"/>
              </w:rPr>
              <w:t>rGO</w:t>
            </w:r>
            <w:proofErr w:type="spellEnd"/>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7.8</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403.2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fldChar w:fldCharType="begin" w:fldLock="1"/>
            </w:r>
            <w:r w:rsidRPr="005746FB">
              <w:rPr>
                <w:rFonts w:ascii="Times New Roman" w:hAnsi="Times New Roman" w:cs="Times New Roman"/>
                <w:szCs w:val="24"/>
              </w:rPr>
              <w:instrText>ADDIN CSL_CITATION {"citationItems":[{"id":"ITEM-1","itemData":{"DOI":"10.1016/j.carbpol.2021.118528","ISSN":"01448617","PMID":"34560942","abstract":"Pollution by tetracyclines antibiotics has a great potential risk on human and animal health even at trace levels. Copper nanoparticles immobilized-β-cyclodextrin functionalized reduced graphene oxide (Cu/β-CD/rGO) were successfully prepared as an efficient extractor of tetracycline (TC), oxytetracycline (OTC) and doxycycline (DC) antibiotics from different environmental water samples. Tetracyclines (TCs) are strongly deposited in the matrix of Cu/β-CD/rGO nanocomposite via surface complexation with the Cu-nanoparticles besides the formation of inclusion complexes with β-cyclodextrin and π-π interaction of reduced graphene oxide. The novel nanocomposite was characterized by HRSEM, TEM, TGA, FT-IR, XPS, and XRD. The optimization of variables such as the pH, contact time, ionic strength and TC concentration were successfully analyzed. The maximum adsorption capacity (qm) of Cu/β-CD/rGO calculated from the Langmuir isotherm was 403.2 mg.g−1 for TC, 476.2 mg.g−1 for OTC and 434.8 mg.g−1 for DC at 298 K. The removal efficiency was decreased by 3.7% after five adsorption-desorption cycles. The Cu/β-CD/rGO nanocomposite was applied for removing TCs from tap water and the Nile River water samples. The novel nanocomposite demonstrated fast and highly efficient removing performance for different TCs with low levels and large sample volume.","author":[{"dropping-particle":"","family":"Yakout","given":"Amr A.","non-dropping-particle":"","parse-names":false,"suffix":""},{"dropping-particle":"","family":"Alshitari","given":"Wael","non-dropping-particle":"","parse-names":false,"suffix":""},{"dropping-particle":"","family":"Akhdhar","given":"Abdullah","non-dropping-particle":"","parse-names":false,"suffix":""}],"container-title":"Carbohydrate Polymers","id":"ITEM-1","issue":"July","issued":{"date-parts":[["2021"]]},"page":"118528","publisher":"Elsevier Ltd","title":"Synergistic effect of Cu-nanoparticles and β-cyclodextrin functionalized reduced graphene oxide nanocomposite on the adsorptive remediation of tetracycline antibiotics","type":"article-journal","volume":"273"},"uris":["http://www.mendeley.com/documents/?uuid=ef6a3a94-4301-4d57-a0fd-7a54403805f5"]}],"mendeley":{"formattedCitation":"(Yakout et al., 2021)","plainTextFormattedCitation":"(Yakout et al., 2021)","previouslyFormattedCitation":"(Yakout et al., 2021)"},"properties":{"noteIndex":0},"schema":"https://github.com/citation-style-language/schema/raw/master/csl-citation.json"}</w:instrText>
            </w:r>
            <w:r w:rsidRPr="005746FB">
              <w:rPr>
                <w:rFonts w:ascii="Times New Roman" w:hAnsi="Times New Roman" w:cs="Times New Roman"/>
                <w:szCs w:val="24"/>
              </w:rPr>
              <w:fldChar w:fldCharType="separate"/>
            </w:r>
            <w:r w:rsidRPr="005746FB">
              <w:rPr>
                <w:rFonts w:ascii="Times New Roman" w:hAnsi="Times New Roman" w:cs="Times New Roman"/>
                <w:noProof/>
                <w:szCs w:val="24"/>
              </w:rPr>
              <w:t>(</w:t>
            </w:r>
            <w:r w:rsidRPr="005746FB">
              <w:rPr>
                <w:rFonts w:ascii="Times New Roman" w:hAnsi="Times New Roman" w:cs="Times New Roman"/>
                <w:noProof/>
                <w:color w:val="548DD4" w:themeColor="text2" w:themeTint="99"/>
                <w:szCs w:val="24"/>
              </w:rPr>
              <w:t>Yakout et al., 2021</w:t>
            </w:r>
            <w:r w:rsidRPr="005746FB">
              <w:rPr>
                <w:rFonts w:ascii="Times New Roman" w:hAnsi="Times New Roman" w:cs="Times New Roman"/>
                <w:noProof/>
                <w:szCs w:val="24"/>
              </w:rPr>
              <w:t>)</w:t>
            </w:r>
            <w:r w:rsidRPr="005746FB">
              <w:rPr>
                <w:rFonts w:ascii="Times New Roman" w:hAnsi="Times New Roman" w:cs="Times New Roman"/>
                <w:szCs w:val="24"/>
              </w:rPr>
              <w:fldChar w:fldCharType="end"/>
            </w:r>
          </w:p>
        </w:tc>
      </w:tr>
      <w:tr w:rsidR="005746FB" w:rsidRPr="005746FB" w:rsidTr="005C669D">
        <w:trPr>
          <w:trHeight w:val="466"/>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Fe3O4/</w:t>
            </w:r>
            <w:proofErr w:type="spellStart"/>
            <w:r w:rsidRPr="005746FB">
              <w:rPr>
                <w:rFonts w:ascii="Times New Roman" w:hAnsi="Times New Roman" w:cs="Times New Roman"/>
                <w:szCs w:val="24"/>
              </w:rPr>
              <w:t>Clinoptilolite</w:t>
            </w:r>
            <w:proofErr w:type="spellEnd"/>
            <w:r w:rsidRPr="005746FB">
              <w:rPr>
                <w:rFonts w:ascii="Times New Roman" w:hAnsi="Times New Roman" w:cs="Times New Roman"/>
                <w:szCs w:val="24"/>
              </w:rPr>
              <w:t xml:space="preserve"> nanocomposite</w:t>
            </w:r>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8</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180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fldChar w:fldCharType="begin" w:fldLock="1"/>
            </w:r>
            <w:r w:rsidRPr="005746FB">
              <w:rPr>
                <w:rFonts w:ascii="Times New Roman" w:hAnsi="Times New Roman" w:cs="Times New Roman"/>
                <w:szCs w:val="24"/>
              </w:rPr>
              <w:instrText>ADDIN CSL_CITATION {"citationItems":[{"id":"ITEM-1","itemData":{"DOI":"10.1016/j.molliq.2022.119040","ISSN":"01677322","abstract":"In the present study, Fe3O4/Clinoptilolite nanocomposite was synthesized in the laboratory as a magnetic nanosorbent; mentioned nanocomposite and Clinoptilolite were employed as adsorbent for adsorption of tetracycline (TC) from aqueous solution. Structure and properties of Fe3O4/Clinoptilolite nanocomposite and Clinoptilolite adsorbents were detected by vibrating sample magnetometer (VSM), Fourier transform infrared spectroscopy (FTIR), energy-dispersive X-ray spectroscopy (EDAX), scanning electron microscope (SEM), X-ray diffraction (XRD) analyses. The maximum adsorption capacity (qmax) for Clinoptilolite adsorbent was 20.17 mg/g, while it was 180.9 mg/g for Fe3O4/Clinoptilolite nanocomposite. Under optimal conditions, the removal efficiency of tetracycline by Fe3O4/Clinoptilolite nanocomposite was 98.6%, and the highest removal efficiency was obtained at pH values of 7 and 8, which could be due to physical adsorption mechanisms such as van der Waals forces and hydrogen bonds between TC polar molecules and functional groups on Fe3O4/Clinoptilolite nanocomposite. The results of nanocomposite reuse study showed that Fe3O4/Clinoptilolite adsorbent can be reused without significant reduction in efficiency, which economically and environmentally justifies the use of Fe3O4/Clinoptilolite nanocomposite to remove various contaminants.","author":[{"dropping-particle":"","family":"Rouhani","given":"Mehdi","non-dropping-particle":"","parse-names":false,"suffix":""},{"dropping-particle":"","family":"Ashrafi","given":"Seyed Davoud","non-dropping-particle":"","parse-names":false,"suffix":""},{"dropping-particle":"","family":"Taghavi","given":"Kamran","non-dropping-particle":"","parse-names":false,"suffix":""},{"dropping-particle":"","family":"Joubani","given":"Mohammad Naimi","non-dropping-particle":"","parse-names":false,"suffix":""},{"dropping-particle":"","family":"Jaafari","given":"Jalil","non-dropping-particle":"","parse-names":false,"suffix":""}],"container-title":"Journal of Molecular Liquids","id":"ITEM-1","issued":{"date-parts":[["2022"]]},"title":"Evaluation of tetracycline removal by adsorption method using magnetic iron oxide nanoparticles (Fe3O4) and clinoptilolite from aqueous solutions","type":"article-journal","volume":"356"},"uris":["http://www.mendeley.com/documents/?uuid=0e56e2f7-f214-4338-8526-0b65f2c230e5"]}],"mendeley":{"formattedCitation":"(Rouhani et al., 2022)","plainTextFormattedCitation":"(Rouhani et al., 2022)","previouslyFormattedCitation":"(Rouhani et al., 2022)"},"properties":{"noteIndex":0},"schema":"https://github.com/citation-style-language/schema/raw/master/csl-citation.json"}</w:instrText>
            </w:r>
            <w:r w:rsidRPr="005746FB">
              <w:rPr>
                <w:rFonts w:ascii="Times New Roman" w:hAnsi="Times New Roman" w:cs="Times New Roman"/>
                <w:szCs w:val="24"/>
              </w:rPr>
              <w:fldChar w:fldCharType="separate"/>
            </w:r>
            <w:r w:rsidRPr="005746FB">
              <w:rPr>
                <w:rFonts w:ascii="Times New Roman" w:hAnsi="Times New Roman" w:cs="Times New Roman"/>
                <w:noProof/>
                <w:szCs w:val="24"/>
              </w:rPr>
              <w:t>(</w:t>
            </w:r>
            <w:r w:rsidRPr="005746FB">
              <w:rPr>
                <w:rFonts w:ascii="Times New Roman" w:hAnsi="Times New Roman" w:cs="Times New Roman"/>
                <w:noProof/>
                <w:color w:val="548DD4" w:themeColor="text2" w:themeTint="99"/>
                <w:szCs w:val="24"/>
              </w:rPr>
              <w:t>Rouhani et al., 2022</w:t>
            </w:r>
            <w:r w:rsidRPr="005746FB">
              <w:rPr>
                <w:rFonts w:ascii="Times New Roman" w:hAnsi="Times New Roman" w:cs="Times New Roman"/>
                <w:noProof/>
                <w:szCs w:val="24"/>
              </w:rPr>
              <w:t>)</w:t>
            </w:r>
            <w:r w:rsidRPr="005746FB">
              <w:rPr>
                <w:rFonts w:ascii="Times New Roman" w:hAnsi="Times New Roman" w:cs="Times New Roman"/>
                <w:szCs w:val="24"/>
              </w:rPr>
              <w:fldChar w:fldCharType="end"/>
            </w:r>
          </w:p>
        </w:tc>
      </w:tr>
      <w:tr w:rsidR="005746FB" w:rsidRPr="005746FB" w:rsidTr="005C669D">
        <w:trPr>
          <w:trHeight w:val="483"/>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CuFe2O4@PVP@GO</w:t>
            </w:r>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6</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193.8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fldChar w:fldCharType="begin" w:fldLock="1"/>
            </w:r>
            <w:r w:rsidRPr="005746FB">
              <w:rPr>
                <w:rFonts w:ascii="Times New Roman" w:hAnsi="Times New Roman" w:cs="Times New Roman"/>
                <w:szCs w:val="24"/>
              </w:rPr>
              <w:instrText>ADDIN CSL_CITATION {"citationItems":[{"id":"ITEM-1","itemData":{"DOI":"10.1016/j.reactfunctpolym.2023.105701","ISSN":"13815148","abstract":"Disposal of pharmaceutical compounds in wastewaters poses potential environmental risk, especially to aquatic life. Herein, magnetic CuFe2O4-graphene oxide (GO) modified with polyvinylpyrrolidone (PVP) ternary nanocomposite (PMGO) was prepared, by a simple ultrasonic method, and successfully applied to the removal of tetracycline (TC) as a model pharmaceutical species. The defect sites of graphene oxide layers served as nucleation centers that allowed the anchoring of both PVP and CuFe2O4 nanoparticles, resulting in reduced agglomeration chances of GO sheets and thus enhanced its TC removal efficiency. Furthermore, the synthesized PMGO was characterized using SEM-EDS, HRTEM, XRD, XPS, FTIR, BET, and VSM. The removal including was optimized by examining the effects of operating parameters, including, initial TC concentration, solution pH, contact time, and PMGO mass. Adsorption isotherms were examined using three-parameters (Hills and Sips) and two-parameters (Langmuir, Freundlich and Tekman) models. PMGO exhibited a maximum adsorption capacity of 193.8 mg/g according to Sips model that exhibited the best fit to experimental data. Moreover, TC removal fitted the PSO kinetics. The removal mechanism was inferred based on adsorption isotherms and kinetic investigations, as well as changes of medium pH and spectral analysis of PMGO composite after adsorption and revealed that electrostatic attraction, π-π interaction, and H-bonding were essential contributing forces, where a TC monolayer was adsorbed onto the PMGO surface and OH− and H+ exerted competitive effects. Importantly, the synthesized nanocomposite exhibited outstanding performance even in the presence of coexisting species (NaCl and SDS surfactant), as well as excellent reusability for practical applications.","author":[{"dropping-particle":"","family":"Ahmed","given":"Mahmoud A.","non-dropping-particle":"","parse-names":false,"suffix":""},{"dropping-particle":"","family":"Ahmed","given":"Mohamed A.","non-dropping-particle":"","parse-names":false,"suffix":""},{"dropping-particle":"","family":"Mohamed","given":"Ashraf A.","non-dropping-particle":"","parse-names":false,"suffix":""}],"container-title":"Reactive and Functional Polymers","id":"ITEM-1","issue":"August","issued":{"date-parts":[["2023"]]},"page":"105701","publisher":"Elsevier B.V.","title":"Adsorptive removal of tetracycline antibiotic onto magnetic graphene oxide nanocomposite modified with polyvinylpyrroilidone","type":"article-journal","volume":"191"},"uris":["http://www.mendeley.com/documents/?uuid=956e62af-06bf-46f9-ad35-1aa4278e55c4"]}],"mendeley":{"formattedCitation":"(M. A. Ahmed et al., 2023)","plainTextFormattedCitation":"(M. A. Ahmed et al., 2023)","previouslyFormattedCitation":"(M. A. Ahmed et al., 2023)"},"properties":{"noteIndex":0},"schema":"https://github.com/citation-style-language/schema/raw/master/csl-citation.json"}</w:instrText>
            </w:r>
            <w:r w:rsidRPr="005746FB">
              <w:rPr>
                <w:rFonts w:ascii="Times New Roman" w:hAnsi="Times New Roman" w:cs="Times New Roman"/>
                <w:szCs w:val="24"/>
              </w:rPr>
              <w:fldChar w:fldCharType="separate"/>
            </w:r>
            <w:r w:rsidRPr="005746FB">
              <w:rPr>
                <w:rFonts w:ascii="Times New Roman" w:hAnsi="Times New Roman" w:cs="Times New Roman"/>
                <w:noProof/>
                <w:color w:val="548DD4" w:themeColor="text2" w:themeTint="99"/>
                <w:szCs w:val="24"/>
              </w:rPr>
              <w:t>(Ahmed et al., 2023</w:t>
            </w:r>
            <w:r w:rsidRPr="005746FB">
              <w:rPr>
                <w:rFonts w:ascii="Times New Roman" w:hAnsi="Times New Roman" w:cs="Times New Roman"/>
                <w:noProof/>
                <w:szCs w:val="24"/>
              </w:rPr>
              <w:t>)</w:t>
            </w:r>
            <w:r w:rsidRPr="005746FB">
              <w:rPr>
                <w:rFonts w:ascii="Times New Roman" w:hAnsi="Times New Roman" w:cs="Times New Roman"/>
                <w:szCs w:val="24"/>
              </w:rPr>
              <w:fldChar w:fldCharType="end"/>
            </w:r>
          </w:p>
        </w:tc>
      </w:tr>
      <w:tr w:rsidR="005746FB" w:rsidRPr="005746FB" w:rsidTr="005C669D">
        <w:trPr>
          <w:trHeight w:val="483"/>
        </w:trPr>
        <w:tc>
          <w:tcPr>
            <w:tcW w:w="246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CuO@GO@IR</w:t>
            </w:r>
          </w:p>
        </w:tc>
        <w:tc>
          <w:tcPr>
            <w:tcW w:w="1694"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3</w:t>
            </w:r>
          </w:p>
        </w:tc>
        <w:tc>
          <w:tcPr>
            <w:tcW w:w="243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769.23 mg/g</w:t>
            </w:r>
          </w:p>
        </w:tc>
        <w:tc>
          <w:tcPr>
            <w:tcW w:w="2250" w:type="dxa"/>
          </w:tcPr>
          <w:p w:rsidR="005746FB" w:rsidRPr="005746FB" w:rsidRDefault="005746FB" w:rsidP="005746FB">
            <w:pPr>
              <w:spacing w:line="360" w:lineRule="auto"/>
              <w:jc w:val="center"/>
              <w:rPr>
                <w:rFonts w:ascii="Times New Roman" w:hAnsi="Times New Roman" w:cs="Times New Roman"/>
                <w:szCs w:val="24"/>
              </w:rPr>
            </w:pPr>
            <w:r w:rsidRPr="005746FB">
              <w:rPr>
                <w:rFonts w:ascii="Times New Roman" w:hAnsi="Times New Roman" w:cs="Times New Roman"/>
                <w:szCs w:val="24"/>
              </w:rPr>
              <w:t>Present study</w:t>
            </w:r>
          </w:p>
        </w:tc>
      </w:tr>
    </w:tbl>
    <w:p w:rsidR="00EA20F5" w:rsidRDefault="00EA20F5" w:rsidP="00FC2EEA">
      <w:pPr>
        <w:rPr>
          <w:b/>
          <w:bCs/>
          <w:noProof/>
        </w:rPr>
      </w:pPr>
    </w:p>
    <w:p w:rsidR="00EA20F5" w:rsidRDefault="00EA20F5" w:rsidP="00FC2EEA">
      <w:pPr>
        <w:rPr>
          <w:b/>
          <w:bCs/>
          <w:noProof/>
        </w:rPr>
      </w:pPr>
    </w:p>
    <w:p w:rsidR="00EA20F5" w:rsidRDefault="00EA20F5" w:rsidP="00FC2EEA">
      <w:pPr>
        <w:rPr>
          <w:b/>
          <w:bCs/>
          <w:noProof/>
        </w:rPr>
      </w:pPr>
    </w:p>
    <w:p w:rsidR="00EA20F5" w:rsidRDefault="00EA20F5" w:rsidP="00FC2EEA">
      <w:pPr>
        <w:rPr>
          <w:b/>
          <w:bCs/>
          <w:noProof/>
        </w:rPr>
      </w:pPr>
    </w:p>
    <w:p w:rsidR="00EA20F5" w:rsidRDefault="00EA20F5" w:rsidP="00FC2EEA">
      <w:pPr>
        <w:rPr>
          <w:b/>
          <w:bCs/>
          <w:noProof/>
        </w:rPr>
      </w:pPr>
    </w:p>
    <w:p w:rsidR="00EA20F5" w:rsidRDefault="00EA20F5" w:rsidP="00FC2EEA">
      <w:pPr>
        <w:rPr>
          <w:b/>
          <w:bCs/>
          <w:noProof/>
        </w:rPr>
      </w:pPr>
    </w:p>
    <w:p w:rsidR="00EA20F5" w:rsidRPr="00FC2EEA" w:rsidRDefault="00EA20F5" w:rsidP="00FC2EEA">
      <w:pPr>
        <w:rPr>
          <w:b/>
          <w:bCs/>
          <w:noProof/>
        </w:rPr>
      </w:pPr>
    </w:p>
    <w:p w:rsidR="00FC2EEA" w:rsidRDefault="00FC2EEA">
      <w:pPr>
        <w:rPr>
          <w:noProof/>
        </w:rPr>
      </w:pPr>
    </w:p>
    <w:p w:rsidR="00FC2EEA" w:rsidRDefault="00FC2EEA">
      <w:pPr>
        <w:rPr>
          <w:noProof/>
        </w:rPr>
      </w:pPr>
    </w:p>
    <w:p w:rsidR="00FC2EEA" w:rsidRDefault="006E0BCD">
      <w:pPr>
        <w:rPr>
          <w:noProof/>
        </w:rPr>
      </w:pPr>
      <w:r>
        <w:rPr>
          <w:noProof/>
        </w:rPr>
        <w:lastRenderedPageBreak/>
        <w:drawing>
          <wp:inline distT="0" distB="0" distL="0" distR="0" wp14:anchorId="59E6C9A1" wp14:editId="05D216DC">
            <wp:extent cx="6070600" cy="3976508"/>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 TC Paper.png"/>
                    <pic:cNvPicPr/>
                  </pic:nvPicPr>
                  <pic:blipFill rotWithShape="1">
                    <a:blip r:embed="rId6" cstate="print">
                      <a:extLst>
                        <a:ext uri="{28A0092B-C50C-407E-A947-70E740481C1C}">
                          <a14:useLocalDpi xmlns:a14="http://schemas.microsoft.com/office/drawing/2010/main" val="0"/>
                        </a:ext>
                      </a:extLst>
                    </a:blip>
                    <a:srcRect l="1602" t="3863" r="12607" b="11504"/>
                    <a:stretch/>
                  </pic:blipFill>
                  <pic:spPr bwMode="auto">
                    <a:xfrm>
                      <a:off x="0" y="0"/>
                      <a:ext cx="6070600" cy="3976508"/>
                    </a:xfrm>
                    <a:prstGeom prst="rect">
                      <a:avLst/>
                    </a:prstGeom>
                    <a:ln>
                      <a:noFill/>
                    </a:ln>
                    <a:extLst>
                      <a:ext uri="{53640926-AAD7-44D8-BBD7-CCE9431645EC}">
                        <a14:shadowObscured xmlns:a14="http://schemas.microsoft.com/office/drawing/2010/main"/>
                      </a:ext>
                    </a:extLst>
                  </pic:spPr>
                </pic:pic>
              </a:graphicData>
            </a:graphic>
          </wp:inline>
        </w:drawing>
      </w:r>
    </w:p>
    <w:p w:rsidR="00FC2EEA" w:rsidRDefault="00FC2EEA">
      <w:pPr>
        <w:rPr>
          <w:noProof/>
        </w:rPr>
      </w:pPr>
    </w:p>
    <w:p w:rsidR="006E0BCD" w:rsidRDefault="006E0BCD" w:rsidP="006E0BCD">
      <w:pPr>
        <w:spacing w:line="360" w:lineRule="auto"/>
        <w:jc w:val="both"/>
        <w:rPr>
          <w:rFonts w:ascii="Times New Roman" w:hAnsi="Times New Roman" w:cs="Times New Roman"/>
          <w:bCs/>
        </w:rPr>
      </w:pPr>
      <w:proofErr w:type="gramStart"/>
      <w:r>
        <w:rPr>
          <w:rFonts w:ascii="Times New Roman" w:hAnsi="Times New Roman" w:cs="Times New Roman"/>
          <w:bCs/>
        </w:rPr>
        <w:t>Fig.</w:t>
      </w:r>
      <w:proofErr w:type="gramEnd"/>
      <w:r>
        <w:rPr>
          <w:rFonts w:ascii="Times New Roman" w:hAnsi="Times New Roman" w:cs="Times New Roman"/>
          <w:bCs/>
        </w:rPr>
        <w:t xml:space="preserve"> S1</w:t>
      </w:r>
      <w:r w:rsidRPr="00D1500D">
        <w:rPr>
          <w:rFonts w:ascii="Times New Roman" w:hAnsi="Times New Roman" w:cs="Times New Roman"/>
          <w:bCs/>
        </w:rPr>
        <w:t xml:space="preserve"> Adsorption isotherm models (a) Langmuir isotherm (b) Freundlich isotherm (c) </w:t>
      </w:r>
      <w:proofErr w:type="spellStart"/>
      <w:r w:rsidRPr="00D1500D">
        <w:rPr>
          <w:rFonts w:ascii="Times New Roman" w:hAnsi="Times New Roman" w:cs="Times New Roman"/>
          <w:bCs/>
        </w:rPr>
        <w:t>Temkin</w:t>
      </w:r>
      <w:proofErr w:type="spellEnd"/>
      <w:r w:rsidRPr="00D1500D">
        <w:rPr>
          <w:rFonts w:ascii="Times New Roman" w:hAnsi="Times New Roman" w:cs="Times New Roman"/>
          <w:bCs/>
        </w:rPr>
        <w:t xml:space="preserve"> isotherm, Kinetic plots (d) Pseudo First Order (e) Pseudo second order (f) </w:t>
      </w:r>
      <w:proofErr w:type="spellStart"/>
      <w:r w:rsidRPr="00D1500D">
        <w:rPr>
          <w:rFonts w:ascii="Times New Roman" w:hAnsi="Times New Roman" w:cs="Times New Roman"/>
          <w:bCs/>
        </w:rPr>
        <w:t>Intraparticle</w:t>
      </w:r>
      <w:proofErr w:type="spellEnd"/>
      <w:r w:rsidRPr="00D1500D">
        <w:rPr>
          <w:rFonts w:ascii="Times New Roman" w:hAnsi="Times New Roman" w:cs="Times New Roman"/>
          <w:bCs/>
        </w:rPr>
        <w:t xml:space="preserve"> diffusion model</w:t>
      </w:r>
    </w:p>
    <w:p w:rsidR="00FC2EEA" w:rsidRDefault="00FC2EEA">
      <w:pPr>
        <w:rPr>
          <w:noProof/>
        </w:rPr>
      </w:pPr>
    </w:p>
    <w:p w:rsidR="00FC2EEA" w:rsidRDefault="00FC2EEA">
      <w:pPr>
        <w:rPr>
          <w:noProof/>
        </w:rPr>
      </w:pPr>
    </w:p>
    <w:p w:rsidR="00FC2EEA" w:rsidRDefault="00FC2EEA">
      <w:pPr>
        <w:rPr>
          <w:noProof/>
        </w:rPr>
      </w:pPr>
    </w:p>
    <w:p w:rsidR="00FC2EEA" w:rsidRDefault="00FC2EEA">
      <w:pPr>
        <w:rPr>
          <w:noProof/>
        </w:rPr>
      </w:pPr>
    </w:p>
    <w:p w:rsidR="00FC2EEA" w:rsidRDefault="00FC2EEA">
      <w:pPr>
        <w:rPr>
          <w:noProof/>
        </w:rPr>
      </w:pPr>
    </w:p>
    <w:p w:rsidR="00FC2EEA" w:rsidRDefault="00FC2EEA">
      <w:pPr>
        <w:rPr>
          <w:noProof/>
        </w:rPr>
      </w:pPr>
    </w:p>
    <w:p w:rsidR="00171066" w:rsidRDefault="00FC2EEA">
      <w:pPr>
        <w:rPr>
          <w:noProof/>
        </w:rPr>
      </w:pPr>
      <w:r w:rsidRPr="00FC2EEA">
        <w:rPr>
          <w:noProof/>
          <w:sz w:val="22"/>
        </w:rPr>
        <mc:AlternateContent>
          <mc:Choice Requires="wps">
            <w:drawing>
              <wp:anchor distT="0" distB="0" distL="114300" distR="114300" simplePos="0" relativeHeight="251659264" behindDoc="0" locked="0" layoutInCell="1" allowOverlap="1" wp14:anchorId="69968AA3" wp14:editId="4F518A79">
                <wp:simplePos x="0" y="0"/>
                <wp:positionH relativeFrom="column">
                  <wp:posOffset>215900</wp:posOffset>
                </wp:positionH>
                <wp:positionV relativeFrom="paragraph">
                  <wp:posOffset>4048760</wp:posOffset>
                </wp:positionV>
                <wp:extent cx="6216650" cy="901700"/>
                <wp:effectExtent l="0" t="0" r="12700"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6650" cy="901700"/>
                        </a:xfrm>
                        <a:prstGeom prst="rect">
                          <a:avLst/>
                        </a:prstGeom>
                        <a:solidFill>
                          <a:srgbClr val="FFFFFF"/>
                        </a:solidFill>
                        <a:ln w="9525">
                          <a:solidFill>
                            <a:srgbClr val="000000"/>
                          </a:solidFill>
                          <a:miter lim="800000"/>
                          <a:headEnd/>
                          <a:tailEnd/>
                        </a:ln>
                      </wps:spPr>
                      <wps:txbx>
                        <w:txbxContent>
                          <w:p w:rsidR="00FC2EEA" w:rsidRDefault="00FC2EEA" w:rsidP="00FC2EEA">
                            <w:pPr>
                              <w:spacing w:line="360" w:lineRule="auto"/>
                              <w:jc w:val="center"/>
                              <w:rPr>
                                <w:rFonts w:ascii="Times New Roman" w:hAnsi="Times New Roman" w:cs="Times New Roman"/>
                                <w:bCs/>
                              </w:rPr>
                            </w:pPr>
                          </w:p>
                          <w:p w:rsidR="00FC2EEA" w:rsidRDefault="00FC2EEA" w:rsidP="00FC2EEA">
                            <w:pPr>
                              <w:spacing w:line="360" w:lineRule="auto"/>
                              <w:jc w:val="center"/>
                              <w:rPr>
                                <w:rFonts w:ascii="Times New Roman" w:hAnsi="Times New Roman" w:cs="Times New Roman"/>
                                <w:bCs/>
                              </w:rPr>
                            </w:pPr>
                          </w:p>
                          <w:p w:rsidR="00FC2EEA" w:rsidRPr="00D1500D" w:rsidRDefault="00FC2EEA" w:rsidP="00FC2EEA">
                            <w:pPr>
                              <w:spacing w:line="360" w:lineRule="auto"/>
                              <w:jc w:val="center"/>
                              <w:rPr>
                                <w:rFonts w:ascii="Times New Roman" w:hAnsi="Times New Roman" w:cs="Times New Roman"/>
                                <w:bCs/>
                              </w:rPr>
                            </w:pPr>
                          </w:p>
                          <w:p w:rsidR="00FC2EEA" w:rsidRDefault="00FC2EEA" w:rsidP="00FC2E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7pt;margin-top:318.8pt;width:489.5pt;height: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scHIwIAAEYEAAAOAAAAZHJzL2Uyb0RvYy54bWysU9uO2yAQfa/Uf0C8N3bcXHatOKtttqkq&#10;bS/Sbj8AYxyjAkOBxE6/fgecTaNt+1KVB8Qww2HmnJnVzaAVOQjnJZiKTic5JcJwaKTZVfTb4/bN&#10;FSU+MNMwBUZU9Cg8vVm/frXqbSkK6EA1whEEMb7sbUW7EGyZZZ53QjM/ASsMOltwmgU03S5rHOsR&#10;XausyPNF1oNrrAMuvMfbu9FJ1wm/bQUPX9rWi0BURTG3kHaX9jru2XrFyp1jtpP8lAb7hyw0kwY/&#10;PUPdscDI3snfoLTkDjy0YcJBZ9C2kotUA1YzzV9U89AxK1ItSI63Z5r8/4Plnw9fHZFNRd/mS0oM&#10;0yjSoxgCeQcDKSI/vfUlhj1YDAwDXqPOqVZv74F/98TApmNmJ26dg74TrMH8pvFldvF0xPERpO4/&#10;QYPfsH2ABDS0TkfykA6C6KjT8axNTIXj5aKYLhZzdHH0XefTZZ7Ey1j5/No6Hz4I0CQeKupQ+4TO&#10;Dvc+xGxY+RwSP/OgZLOVSiXD7eqNcuTAsE+2aaUCXoQpQ3r8fV7MRwL+CpGn9ScILQM2vJK6olfn&#10;IFZG2t6bJrVjYFKNZ0xZmROPkbqRxDDUw0mXGpojMupgbGwcRDx04H5S0mNTV9T/2DMnKFEfDapy&#10;PZ3N4hQkYzZfFmi4S0996WGGI1RFAyXjcRPS5ETCDNyieq1MxEaZx0xOuWKzJr5PgxWn4dJOUb/G&#10;f/0EAAD//wMAUEsDBBQABgAIAAAAIQCOnU6a4QAAAAsBAAAPAAAAZHJzL2Rvd25yZXYueG1sTI/B&#10;TsMwEETvSPyDtUhcEHVKKqcNcSqEBIIbFNRe3XibRNjrYLtp+HvcExxnZzT7plpP1rARfegdSZjP&#10;MmBIjdM9tRI+P55ul8BCVKSVcYQSfjDAur68qFSp3YnecdzElqUSCqWS0MU4lJyHpkOrwswNSMk7&#10;OG9VTNK3XHt1SuXW8LssE9yqntKHTg342GHztTlaCcvFy7gLr/nbthEHs4o3xfj87aW8vpoe7oFF&#10;nOJfGM74CR3qxLR3R9KBGQn5Ik2JEkReCGDnQDbP02kvoShWAnhd8f8b6l8AAAD//wMAUEsBAi0A&#10;FAAGAAgAAAAhALaDOJL+AAAA4QEAABMAAAAAAAAAAAAAAAAAAAAAAFtDb250ZW50X1R5cGVzXS54&#10;bWxQSwECLQAUAAYACAAAACEAOP0h/9YAAACUAQAACwAAAAAAAAAAAAAAAAAvAQAAX3JlbHMvLnJl&#10;bHNQSwECLQAUAAYACAAAACEApkrHByMCAABGBAAADgAAAAAAAAAAAAAAAAAuAgAAZHJzL2Uyb0Rv&#10;Yy54bWxQSwECLQAUAAYACAAAACEAjp1OmuEAAAALAQAADwAAAAAAAAAAAAAAAAB9BAAAZHJzL2Rv&#10;d25yZXYueG1sUEsFBgAAAAAEAAQA8wAAAIsFAAAAAA==&#10;">
                <v:textbox>
                  <w:txbxContent>
                    <w:p w:rsidR="00FC2EEA" w:rsidRDefault="00FC2EEA" w:rsidP="00FC2EEA">
                      <w:pPr>
                        <w:spacing w:line="360" w:lineRule="auto"/>
                        <w:jc w:val="center"/>
                        <w:rPr>
                          <w:rFonts w:ascii="Times New Roman" w:hAnsi="Times New Roman" w:cs="Times New Roman"/>
                          <w:bCs/>
                        </w:rPr>
                      </w:pPr>
                    </w:p>
                    <w:p w:rsidR="00FC2EEA" w:rsidRDefault="00FC2EEA" w:rsidP="00FC2EEA">
                      <w:pPr>
                        <w:spacing w:line="360" w:lineRule="auto"/>
                        <w:jc w:val="center"/>
                        <w:rPr>
                          <w:rFonts w:ascii="Times New Roman" w:hAnsi="Times New Roman" w:cs="Times New Roman"/>
                          <w:bCs/>
                        </w:rPr>
                      </w:pPr>
                    </w:p>
                    <w:p w:rsidR="00FC2EEA" w:rsidRPr="00D1500D" w:rsidRDefault="00FC2EEA" w:rsidP="00FC2EEA">
                      <w:pPr>
                        <w:spacing w:line="360" w:lineRule="auto"/>
                        <w:jc w:val="center"/>
                        <w:rPr>
                          <w:rFonts w:ascii="Times New Roman" w:hAnsi="Times New Roman" w:cs="Times New Roman"/>
                          <w:bCs/>
                        </w:rPr>
                      </w:pPr>
                    </w:p>
                    <w:p w:rsidR="00FC2EEA" w:rsidRDefault="00FC2EEA" w:rsidP="00FC2EEA"/>
                  </w:txbxContent>
                </v:textbox>
              </v:shape>
            </w:pict>
          </mc:Fallback>
        </mc:AlternateContent>
      </w:r>
    </w:p>
    <w:sectPr w:rsidR="001710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066"/>
    <w:rsid w:val="00171066"/>
    <w:rsid w:val="0028140D"/>
    <w:rsid w:val="005746FB"/>
    <w:rsid w:val="006E0BCD"/>
    <w:rsid w:val="0095680B"/>
    <w:rsid w:val="00A068CC"/>
    <w:rsid w:val="00C32C9E"/>
    <w:rsid w:val="00C9485A"/>
    <w:rsid w:val="00D1500D"/>
    <w:rsid w:val="00E64B5B"/>
    <w:rsid w:val="00EA20F5"/>
    <w:rsid w:val="00FC2E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1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1066"/>
    <w:rPr>
      <w:rFonts w:ascii="Tahoma" w:hAnsi="Tahoma" w:cs="Tahoma"/>
      <w:sz w:val="16"/>
      <w:szCs w:val="16"/>
    </w:rPr>
  </w:style>
  <w:style w:type="table" w:styleId="TableGrid">
    <w:name w:val="Table Grid"/>
    <w:basedOn w:val="TableNormal"/>
    <w:uiPriority w:val="59"/>
    <w:rsid w:val="00FC2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A20F5"/>
    <w:pPr>
      <w:spacing w:after="0" w:line="240" w:lineRule="auto"/>
    </w:pPr>
    <w:rPr>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1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1066"/>
    <w:rPr>
      <w:rFonts w:ascii="Tahoma" w:hAnsi="Tahoma" w:cs="Tahoma"/>
      <w:sz w:val="16"/>
      <w:szCs w:val="16"/>
    </w:rPr>
  </w:style>
  <w:style w:type="table" w:styleId="TableGrid">
    <w:name w:val="Table Grid"/>
    <w:basedOn w:val="TableNormal"/>
    <w:uiPriority w:val="59"/>
    <w:rsid w:val="00FC2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A20F5"/>
    <w:pPr>
      <w:spacing w:after="0" w:line="240" w:lineRule="auto"/>
    </w:pPr>
    <w:rPr>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598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185D4-E6DF-4A17-86F4-F42FD2591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2968</Words>
  <Characters>16918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ANCHAL</dc:creator>
  <cp:lastModifiedBy>ANCHAL</cp:lastModifiedBy>
  <cp:revision>9</cp:revision>
  <dcterms:created xsi:type="dcterms:W3CDTF">2024-08-11T11:14:00Z</dcterms:created>
  <dcterms:modified xsi:type="dcterms:W3CDTF">2024-08-23T06:10:00Z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http://www.zotero.org/styles/apa</vt:lpwstr>
  </property>
</Properties>
</file>