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E2A2C" w14:textId="77777777" w:rsidR="00E645FF" w:rsidRPr="009A0FEE" w:rsidRDefault="00E645FF" w:rsidP="00E645FF">
      <w:pPr>
        <w:rPr>
          <w:rFonts w:ascii="Times New Roman" w:eastAsia="Times New Roman" w:hAnsi="Times New Roman" w:cs="Times New Roman"/>
          <w:b/>
          <w:sz w:val="36"/>
          <w:szCs w:val="36"/>
          <w:lang w:val="en-GB"/>
        </w:rPr>
      </w:pPr>
      <w:r w:rsidRPr="009A0FEE"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>Supplementary information</w:t>
      </w:r>
    </w:p>
    <w:p w14:paraId="5F1634CF" w14:textId="77777777" w:rsidR="00E645FF" w:rsidRPr="009A0FEE" w:rsidRDefault="00E645FF" w:rsidP="00E645F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1E1A9BBA" w14:textId="73D59E77" w:rsidR="00E645FF" w:rsidRPr="009A0FEE" w:rsidRDefault="00E645FF" w:rsidP="00E645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A0FE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Supplementary Table 1</w:t>
      </w:r>
      <w:r w:rsidRPr="009A0FE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.</w:t>
      </w:r>
      <w:r w:rsidRPr="009A0FE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</w:t>
      </w:r>
      <w:r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Full sets of mechanisms through which alien species can cause negative and positive impacts on native species as outlined in EICAT (IUCN 2020) and EICAT+ (Vimercati et al. 2022) and number of impact observations (N = 2021) assessed in this paper for each mechanism. Alien ungulates caused negative impacts to native species through 8 mechanisms and positive impacts through 7 mechanisms. For 1,896 impact observations, it was possible to unanimously assign impacts to a single mechanism, while for 125 observations more than one mechanism was assigned to the observed impacts. Numbers with superscript letters refer to cases where multiple mechanisms were simultaneously linked to a single observed impact. Direct mechanisms are underlined, while </w:t>
      </w:r>
      <w:r w:rsidR="009A0FEE"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>colours</w:t>
      </w:r>
      <w:r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denote mechanisms through which both negative and positive impacts can be caused. Note that while chemical, physical, or structural impact on ecosystems were kept distinct in the original formulation of </w:t>
      </w:r>
      <w:proofErr w:type="gramStart"/>
      <w:r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>EICAT(</w:t>
      </w:r>
      <w:proofErr w:type="gramEnd"/>
      <w:r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>+), here we have combined them following Volery et al. 2021. This decision reflects the reality that in most cases, a neat distinction between them was not elucidated in the impact report.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5"/>
        <w:gridCol w:w="2175"/>
        <w:gridCol w:w="1410"/>
      </w:tblGrid>
      <w:tr w:rsidR="00E645FF" w:rsidRPr="009A0FEE" w14:paraId="2E8F08A4" w14:textId="77777777" w:rsidTr="00714BAF">
        <w:trPr>
          <w:trHeight w:val="371"/>
        </w:trPr>
        <w:tc>
          <w:tcPr>
            <w:tcW w:w="5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D4E903" w14:textId="77777777" w:rsidR="00E645FF" w:rsidRPr="009A0FEE" w:rsidRDefault="00E645FF" w:rsidP="00714BAF">
            <w:pPr>
              <w:spacing w:before="240"/>
              <w:jc w:val="right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b/>
                <w:lang w:val="en-GB"/>
              </w:rPr>
              <w:t>Mechanism</w:t>
            </w:r>
          </w:p>
        </w:tc>
        <w:tc>
          <w:tcPr>
            <w:tcW w:w="21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FC0C00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b/>
                <w:lang w:val="en-GB"/>
              </w:rPr>
              <w:t>N. of impact observations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655C34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b/>
                <w:lang w:val="en-GB"/>
              </w:rPr>
              <w:t>Total</w:t>
            </w:r>
          </w:p>
        </w:tc>
      </w:tr>
      <w:tr w:rsidR="00E645FF" w:rsidRPr="009A0FEE" w14:paraId="20531282" w14:textId="77777777" w:rsidTr="00714BAF">
        <w:trPr>
          <w:trHeight w:val="654"/>
        </w:trPr>
        <w:tc>
          <w:tcPr>
            <w:tcW w:w="885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4B3593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</w:t>
            </w:r>
            <w:r w:rsidRPr="009A0F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 EICAT </w:t>
            </w:r>
          </w:p>
        </w:tc>
      </w:tr>
      <w:tr w:rsidR="00E645FF" w:rsidRPr="009A0FEE" w14:paraId="3DC989D4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F9D15B" w14:textId="77777777" w:rsidR="00E645FF" w:rsidRPr="009A0FEE" w:rsidRDefault="00E645FF" w:rsidP="00714BAF">
            <w:pPr>
              <w:numPr>
                <w:ilvl w:val="0"/>
                <w:numId w:val="1"/>
              </w:numPr>
              <w:spacing w:after="240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Competition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E15883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15, 2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g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2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0D8C3B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19</w:t>
            </w:r>
          </w:p>
        </w:tc>
      </w:tr>
      <w:tr w:rsidR="00E645FF" w:rsidRPr="009A0FEE" w14:paraId="5493FBBE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B94E0C" w14:textId="77777777" w:rsidR="00E645FF" w:rsidRPr="009A0FEE" w:rsidRDefault="00E645FF" w:rsidP="00714BAF">
            <w:pPr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Predation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F41FDE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52, 1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7744B8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53</w:t>
            </w:r>
          </w:p>
        </w:tc>
      </w:tr>
      <w:tr w:rsidR="00E645FF" w:rsidRPr="009A0FEE" w14:paraId="580AA5A7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2D8B01" w14:textId="77777777" w:rsidR="00E645FF" w:rsidRPr="009A0FEE" w:rsidRDefault="00E645FF" w:rsidP="00714BAF">
            <w:pPr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BF900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color w:val="BF9000"/>
                <w:sz w:val="20"/>
                <w:szCs w:val="20"/>
                <w:u w:val="single"/>
                <w:lang w:val="en-GB"/>
              </w:rPr>
              <w:t>Hybridization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A7D2F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1230F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24</w:t>
            </w:r>
          </w:p>
        </w:tc>
      </w:tr>
      <w:tr w:rsidR="00E645FF" w:rsidRPr="009A0FEE" w14:paraId="25CCB96D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81E225" w14:textId="77777777" w:rsidR="00E645FF" w:rsidRPr="009A0FEE" w:rsidRDefault="00E645FF" w:rsidP="00714BAF">
            <w:pPr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Transmission of </w:t>
            </w:r>
            <w:proofErr w:type="spell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disease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CD68A7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4, 2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34A5E2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E645FF" w:rsidRPr="009A0FEE" w14:paraId="353C47A2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25AC6" w14:textId="77777777" w:rsidR="00E645FF" w:rsidRPr="009A0FEE" w:rsidRDefault="00E645FF" w:rsidP="00714BAF">
            <w:pPr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Parasitism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911F0B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0BCEA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E645FF" w:rsidRPr="009A0FEE" w14:paraId="3CEAD783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94D788" w14:textId="77777777" w:rsidR="00E645FF" w:rsidRPr="009A0FEE" w:rsidRDefault="00E645FF" w:rsidP="00714BAF">
            <w:pPr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Poisoning/toxicity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1D79C3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D50342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E645FF" w:rsidRPr="009A0FEE" w14:paraId="60EA6D9C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5AA2F2" w14:textId="77777777" w:rsidR="00E645FF" w:rsidRPr="009A0FEE" w:rsidRDefault="00E645FF" w:rsidP="00714BAF">
            <w:pPr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 xml:space="preserve">Bio-fouling or other direct physical </w:t>
            </w:r>
            <w:proofErr w:type="spell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disturbance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9D609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196, 91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e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8</w:t>
            </w:r>
            <w:proofErr w:type="gram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e,g</w:t>
            </w:r>
            <w:proofErr w:type="gramEnd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1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04F2FC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296</w:t>
            </w:r>
          </w:p>
        </w:tc>
      </w:tr>
      <w:tr w:rsidR="00E645FF" w:rsidRPr="009A0FEE" w14:paraId="1A044497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7BDF21" w14:textId="77777777" w:rsidR="00E645FF" w:rsidRPr="009A0FEE" w:rsidRDefault="00E645FF" w:rsidP="00714BAF">
            <w:pPr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Grazing/herbivory/</w:t>
            </w:r>
            <w:proofErr w:type="spell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browsing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e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2BA637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864, 91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d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8</w:t>
            </w:r>
            <w:proofErr w:type="gram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d,g</w:t>
            </w:r>
            <w:proofErr w:type="gramEnd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18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f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472C8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981</w:t>
            </w:r>
          </w:p>
        </w:tc>
      </w:tr>
      <w:tr w:rsidR="00E645FF" w:rsidRPr="009A0FEE" w14:paraId="155BA73C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C817D8" w14:textId="77777777" w:rsidR="00E645FF" w:rsidRPr="009A0FEE" w:rsidRDefault="00E645FF" w:rsidP="00714BAF">
            <w:pPr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A61C00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color w:val="A61C00"/>
                <w:sz w:val="20"/>
                <w:szCs w:val="20"/>
                <w:lang w:val="en-GB"/>
              </w:rPr>
              <w:t xml:space="preserve">Chemical/Physical/Structural impact on </w:t>
            </w:r>
            <w:proofErr w:type="spellStart"/>
            <w:r w:rsidRPr="009A0FEE">
              <w:rPr>
                <w:rFonts w:ascii="Times New Roman" w:eastAsia="Times New Roman" w:hAnsi="Times New Roman" w:cs="Times New Roman"/>
                <w:color w:val="A61C00"/>
                <w:sz w:val="20"/>
                <w:szCs w:val="20"/>
                <w:lang w:val="en-GB"/>
              </w:rPr>
              <w:t>ecosystem</w:t>
            </w:r>
            <w:r w:rsidRPr="009A0FEE">
              <w:rPr>
                <w:rFonts w:ascii="Times New Roman" w:eastAsia="Times New Roman" w:hAnsi="Times New Roman" w:cs="Times New Roman"/>
                <w:color w:val="A61C00"/>
                <w:sz w:val="20"/>
                <w:szCs w:val="20"/>
                <w:vertAlign w:val="superscript"/>
                <w:lang w:val="en-GB"/>
              </w:rPr>
              <w:t>f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77BC9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296, 18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6477FA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314</w:t>
            </w:r>
          </w:p>
        </w:tc>
      </w:tr>
      <w:tr w:rsidR="00E645FF" w:rsidRPr="009A0FEE" w14:paraId="0E1ACA56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2B7479" w14:textId="77777777" w:rsidR="00E645FF" w:rsidRPr="009A0FEE" w:rsidRDefault="00E645FF" w:rsidP="00714BAF">
            <w:pPr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color w:val="3D85C6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color w:val="3D85C6"/>
                <w:sz w:val="20"/>
                <w:szCs w:val="20"/>
                <w:lang w:val="en-GB"/>
              </w:rPr>
              <w:t xml:space="preserve">Indirect impact through interactions with other </w:t>
            </w:r>
            <w:proofErr w:type="spellStart"/>
            <w:r w:rsidRPr="009A0FEE">
              <w:rPr>
                <w:rFonts w:ascii="Times New Roman" w:eastAsia="Times New Roman" w:hAnsi="Times New Roman" w:cs="Times New Roman"/>
                <w:color w:val="3D85C6"/>
                <w:sz w:val="20"/>
                <w:szCs w:val="20"/>
                <w:lang w:val="en-GB"/>
              </w:rPr>
              <w:t>taxa</w:t>
            </w:r>
            <w:r w:rsidRPr="009A0FEE">
              <w:rPr>
                <w:rFonts w:ascii="Times New Roman" w:eastAsia="Times New Roman" w:hAnsi="Times New Roman" w:cs="Times New Roman"/>
                <w:color w:val="3D85C6"/>
                <w:sz w:val="20"/>
                <w:szCs w:val="20"/>
                <w:vertAlign w:val="superscript"/>
                <w:lang w:val="en-GB"/>
              </w:rPr>
              <w:t>g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03155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45, 8</w:t>
            </w:r>
            <w:proofErr w:type="gram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e,d</w:t>
            </w:r>
            <w:proofErr w:type="gramEnd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,2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114899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55</w:t>
            </w:r>
          </w:p>
        </w:tc>
      </w:tr>
      <w:tr w:rsidR="00E645FF" w:rsidRPr="009A0FEE" w14:paraId="4F2A84CB" w14:textId="77777777" w:rsidTr="00714BAF">
        <w:trPr>
          <w:trHeight w:val="624"/>
        </w:trPr>
        <w:tc>
          <w:tcPr>
            <w:tcW w:w="885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D0F3EC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 </w:t>
            </w:r>
            <w:r w:rsidRPr="009A0F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EICAT+ </w:t>
            </w:r>
          </w:p>
        </w:tc>
      </w:tr>
      <w:tr w:rsidR="00E645FF" w:rsidRPr="009A0FEE" w14:paraId="64F89D69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353457" w14:textId="77777777" w:rsidR="00E645FF" w:rsidRPr="009A0FEE" w:rsidRDefault="00E645FF" w:rsidP="00714BAF">
            <w:pPr>
              <w:numPr>
                <w:ilvl w:val="0"/>
                <w:numId w:val="2"/>
              </w:numPr>
              <w:spacing w:after="2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Provision of trophic resources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5CA37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CB8D4D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</w:tr>
      <w:tr w:rsidR="00E645FF" w:rsidRPr="009A0FEE" w14:paraId="4D6ABF76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BBA833" w14:textId="77777777" w:rsidR="00E645FF" w:rsidRPr="009A0FEE" w:rsidRDefault="00E645FF" w:rsidP="00714BAF">
            <w:pPr>
              <w:numPr>
                <w:ilvl w:val="0"/>
                <w:numId w:val="2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Overcompensation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308B50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5D4D49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11</w:t>
            </w:r>
          </w:p>
        </w:tc>
      </w:tr>
      <w:tr w:rsidR="00E645FF" w:rsidRPr="009A0FEE" w14:paraId="29EC119F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FF8D2" w14:textId="77777777" w:rsidR="00E645FF" w:rsidRPr="009A0FEE" w:rsidRDefault="00E645FF" w:rsidP="00714BAF">
            <w:pPr>
              <w:numPr>
                <w:ilvl w:val="0"/>
                <w:numId w:val="2"/>
              </w:numPr>
              <w:jc w:val="right"/>
              <w:rPr>
                <w:rFonts w:ascii="Times New Roman" w:eastAsia="Times New Roman" w:hAnsi="Times New Roman" w:cs="Times New Roman"/>
                <w:color w:val="BF9000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color w:val="BF9000"/>
                <w:sz w:val="20"/>
                <w:szCs w:val="20"/>
                <w:u w:val="single"/>
                <w:lang w:val="en-GB"/>
              </w:rPr>
              <w:t>Hybridization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3959CC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36A1DA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</w:tr>
      <w:tr w:rsidR="00E645FF" w:rsidRPr="009A0FEE" w14:paraId="526EE400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6CCA1D" w14:textId="77777777" w:rsidR="00E645FF" w:rsidRPr="009A0FEE" w:rsidRDefault="00E645FF" w:rsidP="00714BAF">
            <w:pPr>
              <w:numPr>
                <w:ilvl w:val="0"/>
                <w:numId w:val="2"/>
              </w:numPr>
              <w:spacing w:before="2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Disease reduction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2B412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2E1D8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E645FF" w:rsidRPr="009A0FEE" w14:paraId="4FDB1DF3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2DA740" w14:textId="77777777" w:rsidR="00E645FF" w:rsidRPr="009A0FEE" w:rsidRDefault="00E645FF" w:rsidP="00714BAF">
            <w:pPr>
              <w:numPr>
                <w:ilvl w:val="0"/>
                <w:numId w:val="2"/>
              </w:numPr>
              <w:spacing w:before="2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Dispersal facilitation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5EE29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E5F4F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30</w:t>
            </w:r>
          </w:p>
        </w:tc>
      </w:tr>
      <w:tr w:rsidR="00E645FF" w:rsidRPr="009A0FEE" w14:paraId="62485068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8D012" w14:textId="77777777" w:rsidR="00E645FF" w:rsidRPr="009A0FEE" w:rsidRDefault="00E645FF" w:rsidP="00714BAF">
            <w:pPr>
              <w:numPr>
                <w:ilvl w:val="0"/>
                <w:numId w:val="2"/>
              </w:numPr>
              <w:spacing w:before="2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lastRenderedPageBreak/>
              <w:t>Epibiosis</w:t>
            </w:r>
            <w:proofErr w:type="spellEnd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 xml:space="preserve"> or other direct provision of </w:t>
            </w:r>
            <w:proofErr w:type="spell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GB"/>
              </w:rPr>
              <w:t>habitat</w:t>
            </w: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h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F2F87C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3, 6</w:t>
            </w:r>
            <w:proofErr w:type="gram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j,i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33A4DC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</w:tr>
      <w:tr w:rsidR="00E645FF" w:rsidRPr="009A0FEE" w14:paraId="7F3113CE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418060" w14:textId="77777777" w:rsidR="00E645FF" w:rsidRPr="009A0FEE" w:rsidRDefault="00E645FF" w:rsidP="00714BAF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A61C00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color w:val="A61C00"/>
                <w:sz w:val="20"/>
                <w:szCs w:val="20"/>
                <w:lang w:val="en-GB"/>
              </w:rPr>
              <w:t xml:space="preserve">7. Chemical/Physical/Structural impact on </w:t>
            </w:r>
            <w:proofErr w:type="spellStart"/>
            <w:r w:rsidRPr="009A0FEE">
              <w:rPr>
                <w:rFonts w:ascii="Times New Roman" w:eastAsia="Times New Roman" w:hAnsi="Times New Roman" w:cs="Times New Roman"/>
                <w:color w:val="A61C00"/>
                <w:sz w:val="20"/>
                <w:szCs w:val="20"/>
                <w:lang w:val="en-GB"/>
              </w:rPr>
              <w:t>ecosystem</w:t>
            </w:r>
            <w:r w:rsidRPr="009A0FEE">
              <w:rPr>
                <w:rFonts w:ascii="Times New Roman" w:eastAsia="Times New Roman" w:hAnsi="Times New Roman" w:cs="Times New Roman"/>
                <w:color w:val="A61C00"/>
                <w:sz w:val="20"/>
                <w:szCs w:val="20"/>
                <w:vertAlign w:val="superscript"/>
                <w:lang w:val="en-GB"/>
              </w:rPr>
              <w:t>i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E68723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68, 6</w:t>
            </w:r>
            <w:proofErr w:type="gram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h,j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DB469F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74</w:t>
            </w:r>
          </w:p>
        </w:tc>
      </w:tr>
      <w:tr w:rsidR="00E645FF" w:rsidRPr="009A0FEE" w14:paraId="14FC22D5" w14:textId="77777777" w:rsidTr="00714BAF">
        <w:trPr>
          <w:trHeight w:val="371"/>
        </w:trPr>
        <w:tc>
          <w:tcPr>
            <w:tcW w:w="5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D1C212" w14:textId="77777777" w:rsidR="00E645FF" w:rsidRPr="009A0FEE" w:rsidRDefault="00E645FF" w:rsidP="00714BAF">
            <w:pPr>
              <w:spacing w:before="240"/>
              <w:jc w:val="right"/>
              <w:rPr>
                <w:rFonts w:ascii="Times New Roman" w:eastAsia="Times New Roman" w:hAnsi="Times New Roman" w:cs="Times New Roman"/>
                <w:color w:val="3D85C6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color w:val="3D85C6"/>
                <w:sz w:val="20"/>
                <w:szCs w:val="20"/>
                <w:lang w:val="en-GB"/>
              </w:rPr>
              <w:t xml:space="preserve">8. Indirect impact through interactions with other </w:t>
            </w:r>
            <w:proofErr w:type="spellStart"/>
            <w:r w:rsidRPr="009A0FEE">
              <w:rPr>
                <w:rFonts w:ascii="Times New Roman" w:eastAsia="Times New Roman" w:hAnsi="Times New Roman" w:cs="Times New Roman"/>
                <w:color w:val="3D85C6"/>
                <w:sz w:val="20"/>
                <w:szCs w:val="20"/>
                <w:lang w:val="en-GB"/>
              </w:rPr>
              <w:t>taxa</w:t>
            </w:r>
            <w:r w:rsidRPr="009A0FEE">
              <w:rPr>
                <w:rFonts w:ascii="Times New Roman" w:eastAsia="Times New Roman" w:hAnsi="Times New Roman" w:cs="Times New Roman"/>
                <w:color w:val="3D85C6"/>
                <w:sz w:val="20"/>
                <w:szCs w:val="20"/>
                <w:vertAlign w:val="superscript"/>
                <w:lang w:val="en-GB"/>
              </w:rPr>
              <w:t>j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0EE64F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269, 6</w:t>
            </w:r>
            <w:proofErr w:type="gram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h,i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A64043" w14:textId="77777777" w:rsidR="00E645FF" w:rsidRPr="009A0FEE" w:rsidRDefault="00E645FF" w:rsidP="00714BA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275</w:t>
            </w:r>
          </w:p>
        </w:tc>
      </w:tr>
    </w:tbl>
    <w:p w14:paraId="27D10CB6" w14:textId="77777777" w:rsidR="00E645FF" w:rsidRPr="009A0FEE" w:rsidRDefault="00E645FF" w:rsidP="00E645F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E178F6" w14:textId="77777777" w:rsidR="00E645FF" w:rsidRPr="009A0FEE" w:rsidRDefault="00E645FF" w:rsidP="00E645FF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A0FE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Supplementary Table 2. </w:t>
      </w:r>
      <w:r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Complete list of post hoc pairwise comparisons with Tukey's correction conducted to identify differences between levels of categorical predictors on the probability of an alien LMH species causing a strong impact on native biodiversity. S. cons.: secondary consumers; P. cons.: primary consumers; </w:t>
      </w:r>
      <w:proofErr w:type="spellStart"/>
      <w:r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>Produc</w:t>
      </w:r>
      <w:proofErr w:type="spellEnd"/>
      <w:r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.: producers; Decomp.: decomposers.  P-values: *p&lt;.05; **p&lt;.01; p&lt;.001***. Asterisks indicate significant differences.  ***p&lt;.001; **p&lt;.01; *p&lt;.05.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7"/>
        <w:gridCol w:w="2014"/>
        <w:gridCol w:w="1342"/>
        <w:gridCol w:w="1042"/>
        <w:gridCol w:w="1142"/>
        <w:gridCol w:w="1428"/>
      </w:tblGrid>
      <w:tr w:rsidR="00E645FF" w:rsidRPr="009A0FEE" w14:paraId="125DC61A" w14:textId="77777777" w:rsidTr="00714BAF">
        <w:trPr>
          <w:trHeight w:val="450"/>
        </w:trPr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A3CD8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Predictor</w:t>
            </w:r>
          </w:p>
        </w:tc>
        <w:tc>
          <w:tcPr>
            <w:tcW w:w="20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D359D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Comparison</w:t>
            </w:r>
          </w:p>
        </w:tc>
        <w:tc>
          <w:tcPr>
            <w:tcW w:w="13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E875A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9A0F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odds.ratio</w:t>
            </w:r>
            <w:proofErr w:type="spellEnd"/>
            <w:proofErr w:type="gramEnd"/>
          </w:p>
        </w:tc>
        <w:tc>
          <w:tcPr>
            <w:tcW w:w="10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B4DD4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SE</w:t>
            </w: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59873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9A0F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z.ratio</w:t>
            </w:r>
            <w:proofErr w:type="spellEnd"/>
            <w:proofErr w:type="gramEnd"/>
          </w:p>
        </w:tc>
        <w:tc>
          <w:tcPr>
            <w:tcW w:w="14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67D3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A0F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p.value</w:t>
            </w:r>
            <w:proofErr w:type="spellEnd"/>
          </w:p>
        </w:tc>
      </w:tr>
      <w:tr w:rsidR="00E645FF" w:rsidRPr="009A0FEE" w14:paraId="5220AA26" w14:textId="77777777" w:rsidTr="00714BAF">
        <w:trPr>
          <w:trHeight w:val="450"/>
        </w:trPr>
        <w:tc>
          <w:tcPr>
            <w:tcW w:w="20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58C3E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1F439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Negative / Positive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31668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2.17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F7C9B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C24A4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2.80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69BB7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0.0051**</w:t>
            </w:r>
          </w:p>
        </w:tc>
      </w:tr>
      <w:tr w:rsidR="00E645FF" w:rsidRPr="009A0FEE" w14:paraId="72B683C1" w14:textId="77777777" w:rsidTr="00714BAF">
        <w:trPr>
          <w:trHeight w:val="450"/>
        </w:trPr>
        <w:tc>
          <w:tcPr>
            <w:tcW w:w="20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C588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C51DD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Island / Mainland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4E9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0.123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C1538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0.0701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711E9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3.679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6E831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0.0002***</w:t>
            </w:r>
          </w:p>
        </w:tc>
      </w:tr>
      <w:tr w:rsidR="00E645FF" w:rsidRPr="009A0FEE" w14:paraId="061C3763" w14:textId="77777777" w:rsidTr="00714BAF">
        <w:trPr>
          <w:trHeight w:val="450"/>
        </w:trPr>
        <w:tc>
          <w:tcPr>
            <w:tcW w:w="20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968CA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Mechanism type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5F9F4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 / Indirect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2E70C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0.328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6964C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09A68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-3.053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0557B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0.0023**</w:t>
            </w:r>
          </w:p>
        </w:tc>
      </w:tr>
      <w:tr w:rsidR="00E645FF" w:rsidRPr="009A0FEE" w14:paraId="0263E62D" w14:textId="77777777" w:rsidTr="00714BAF">
        <w:trPr>
          <w:trHeight w:val="450"/>
        </w:trPr>
        <w:tc>
          <w:tcPr>
            <w:tcW w:w="2056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5936E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Trophic level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59ADC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S. cons. / P. cons.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2B0BA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3.07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2C25C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1.253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727C0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2.751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CD2E7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0.0303*</w:t>
            </w:r>
          </w:p>
        </w:tc>
      </w:tr>
      <w:tr w:rsidR="00E645FF" w:rsidRPr="009A0FEE" w14:paraId="35A33F63" w14:textId="77777777" w:rsidTr="00714BAF">
        <w:trPr>
          <w:trHeight w:val="45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2025F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1CEEF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S. cons. / </w:t>
            </w:r>
            <w:proofErr w:type="spell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Produc</w:t>
            </w:r>
            <w:proofErr w:type="spellEnd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C57D4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231EA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0.636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1A5F1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1.037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7D06A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0.7275</w:t>
            </w:r>
          </w:p>
        </w:tc>
      </w:tr>
      <w:tr w:rsidR="00E645FF" w:rsidRPr="009A0FEE" w14:paraId="267E38F5" w14:textId="77777777" w:rsidTr="00714BAF">
        <w:trPr>
          <w:trHeight w:val="45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85E1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3E0DB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S. cons. / Decomp.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5FC69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13398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3.894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513FA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2.083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C3BC7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0.1586</w:t>
            </w:r>
          </w:p>
        </w:tc>
      </w:tr>
      <w:tr w:rsidR="00E645FF" w:rsidRPr="009A0FEE" w14:paraId="5B8C792D" w14:textId="77777777" w:rsidTr="00714BAF">
        <w:trPr>
          <w:trHeight w:val="45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C5A0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974EE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P. cons. / </w:t>
            </w:r>
            <w:proofErr w:type="spell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Produc</w:t>
            </w:r>
            <w:proofErr w:type="spellEnd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76DDC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E4885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0.229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0FE9E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-1.515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4C73E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0.428</w:t>
            </w:r>
          </w:p>
        </w:tc>
      </w:tr>
      <w:tr w:rsidR="00E645FF" w:rsidRPr="009A0FEE" w14:paraId="2F587FF6" w14:textId="77777777" w:rsidTr="00714BAF">
        <w:trPr>
          <w:trHeight w:val="45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A384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AD59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P. cons. / Decomp.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01AFB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7D9F7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1.325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196D9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0.607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4CC90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0.9298</w:t>
            </w:r>
          </w:p>
        </w:tc>
      </w:tr>
      <w:tr w:rsidR="00E645FF" w:rsidRPr="009A0FEE" w14:paraId="07A28596" w14:textId="77777777" w:rsidTr="00714BAF">
        <w:trPr>
          <w:trHeight w:val="45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DD6D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88F5E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Produc</w:t>
            </w:r>
            <w:proofErr w:type="spellEnd"/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 / Decomp.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0CADC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3.27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33F39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2.618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D5DB9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1.480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17140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0.4494</w:t>
            </w:r>
          </w:p>
        </w:tc>
      </w:tr>
      <w:tr w:rsidR="00E645FF" w:rsidRPr="009A0FEE" w14:paraId="6F08F420" w14:textId="77777777" w:rsidTr="00714BAF">
        <w:trPr>
          <w:trHeight w:val="1080"/>
        </w:trPr>
        <w:tc>
          <w:tcPr>
            <w:tcW w:w="2056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B7D19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 * Location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AE4FF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 = Negative</w:t>
            </w:r>
          </w:p>
          <w:p w14:paraId="399FFE54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Island / Mainland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CACD7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0.0879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F8328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0.0494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76135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4.329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919A1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&lt;.0001***</w:t>
            </w:r>
          </w:p>
        </w:tc>
      </w:tr>
      <w:tr w:rsidR="00E645FF" w:rsidRPr="009A0FEE" w14:paraId="5A877FFF" w14:textId="77777777" w:rsidTr="00714BAF">
        <w:trPr>
          <w:trHeight w:val="108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6A22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67397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 = Positive</w:t>
            </w:r>
          </w:p>
          <w:p w14:paraId="7A5D4E81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Island / Mainland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9A538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0.1722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4470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0.1123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5069F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2.697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BD50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0.007**</w:t>
            </w:r>
          </w:p>
        </w:tc>
      </w:tr>
      <w:tr w:rsidR="00E645FF" w:rsidRPr="009A0FEE" w14:paraId="01812246" w14:textId="77777777" w:rsidTr="00714BAF">
        <w:trPr>
          <w:trHeight w:val="450"/>
        </w:trPr>
        <w:tc>
          <w:tcPr>
            <w:tcW w:w="2056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64469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Confidence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B43C3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 / Medium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384F4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0.1957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05AE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0.0592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B6C91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-5.395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0AFB1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&lt;.0001***</w:t>
            </w:r>
          </w:p>
        </w:tc>
      </w:tr>
      <w:tr w:rsidR="00E645FF" w:rsidRPr="009A0FEE" w14:paraId="7E30D372" w14:textId="77777777" w:rsidTr="00714BAF">
        <w:trPr>
          <w:trHeight w:val="45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8C67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3355E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 / High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3364F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0.0641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74266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0.0255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B2AC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-6.897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416EF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&lt;.0001***</w:t>
            </w:r>
          </w:p>
        </w:tc>
      </w:tr>
      <w:tr w:rsidR="00E645FF" w:rsidRPr="009A0FEE" w14:paraId="78199010" w14:textId="77777777" w:rsidTr="00714BAF">
        <w:trPr>
          <w:trHeight w:val="45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A9BC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86BBB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Medium / High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9EE5B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0.3274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9D1A1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0.1137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BECA6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-3.215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26A0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0.0037**</w:t>
            </w:r>
          </w:p>
        </w:tc>
      </w:tr>
      <w:tr w:rsidR="00E645FF" w:rsidRPr="009A0FEE" w14:paraId="000438F2" w14:textId="77777777" w:rsidTr="00714BAF">
        <w:trPr>
          <w:trHeight w:val="1080"/>
        </w:trPr>
        <w:tc>
          <w:tcPr>
            <w:tcW w:w="2056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89EA4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 * Confidence</w:t>
            </w:r>
          </w:p>
          <w:p w14:paraId="50AAB18D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A3C00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 = Negative</w:t>
            </w:r>
          </w:p>
          <w:p w14:paraId="698C944E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 / Medium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2590A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0.8226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EB345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0.2387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0215B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-0.673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C57E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0.7792</w:t>
            </w:r>
          </w:p>
        </w:tc>
      </w:tr>
      <w:tr w:rsidR="00E645FF" w:rsidRPr="009A0FEE" w14:paraId="678223D5" w14:textId="77777777" w:rsidTr="00714BAF">
        <w:trPr>
          <w:trHeight w:val="108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4619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3110A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 = Negative</w:t>
            </w:r>
          </w:p>
          <w:p w14:paraId="674179CF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 / High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AD77C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0.1596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98F5B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0.0780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D71B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-3.756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F991F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0.0005***</w:t>
            </w:r>
          </w:p>
        </w:tc>
      </w:tr>
      <w:tr w:rsidR="00E645FF" w:rsidRPr="009A0FEE" w14:paraId="201E2894" w14:textId="77777777" w:rsidTr="00714BAF">
        <w:trPr>
          <w:trHeight w:val="108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59FF6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66454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 = Negative</w:t>
            </w:r>
          </w:p>
          <w:p w14:paraId="7973BAB0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Medium / High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DD969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0.1940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A8B80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0.0887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69F18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-3.586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21D48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0.0010**</w:t>
            </w:r>
          </w:p>
          <w:p w14:paraId="6A5A2A85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E645FF" w:rsidRPr="009A0FEE" w14:paraId="09FF083E" w14:textId="77777777" w:rsidTr="00714BAF">
        <w:trPr>
          <w:trHeight w:val="108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77DB2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DFDE3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 = Positive</w:t>
            </w:r>
          </w:p>
          <w:p w14:paraId="68B1E0B4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 / Medium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6415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0.0466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497CC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0.0229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018A4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6.235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E39DF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&lt;.0001*</w:t>
            </w:r>
          </w:p>
        </w:tc>
      </w:tr>
      <w:tr w:rsidR="00E645FF" w:rsidRPr="009A0FEE" w14:paraId="3F39037E" w14:textId="77777777" w:rsidTr="00714BAF">
        <w:trPr>
          <w:trHeight w:val="108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BD90A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2160B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 = Positive</w:t>
            </w:r>
          </w:p>
          <w:p w14:paraId="5B4493CA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 / High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68685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0.0257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389DC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0.0136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CAC58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-6.936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C6343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&lt;.0001*</w:t>
            </w:r>
          </w:p>
        </w:tc>
      </w:tr>
      <w:tr w:rsidR="00E645FF" w:rsidRPr="009A0FEE" w14:paraId="4EC747B4" w14:textId="77777777" w:rsidTr="00714BAF">
        <w:trPr>
          <w:trHeight w:val="1080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BFE2" w14:textId="77777777" w:rsidR="00E645FF" w:rsidRPr="009A0FEE" w:rsidRDefault="00E645FF" w:rsidP="00714BA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9030A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Direction = Positive</w:t>
            </w:r>
          </w:p>
          <w:p w14:paraId="29166A7B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Medium / High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FADF9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0.5525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2199F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0.2952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DE5BF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-1.110 </w:t>
            </w:r>
          </w:p>
          <w:p w14:paraId="444382F7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40882" w14:textId="77777777" w:rsidR="00E645FF" w:rsidRPr="009A0FEE" w:rsidRDefault="00E645FF" w:rsidP="00714BA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A0FE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0.5077</w:t>
            </w:r>
          </w:p>
        </w:tc>
      </w:tr>
    </w:tbl>
    <w:p w14:paraId="4E16B48F" w14:textId="77777777" w:rsidR="00E645FF" w:rsidRPr="009A0FEE" w:rsidRDefault="00E645FF" w:rsidP="00E645FF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</w:p>
    <w:p w14:paraId="5819A891" w14:textId="77777777" w:rsidR="00E645FF" w:rsidRPr="009A0FEE" w:rsidRDefault="00E645FF" w:rsidP="00E645F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B649B9D" w14:textId="77777777" w:rsidR="00E645FF" w:rsidRPr="009A0FEE" w:rsidRDefault="00E645FF" w:rsidP="00E645F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DB2C72E" w14:textId="77777777" w:rsidR="00E645FF" w:rsidRPr="009A0FEE" w:rsidRDefault="00E645FF" w:rsidP="00E645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A0FEE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w:lastRenderedPageBreak/>
        <w:drawing>
          <wp:inline distT="114300" distB="114300" distL="114300" distR="114300" wp14:anchorId="278E2AF9" wp14:editId="6FF3FA57">
            <wp:extent cx="5731200" cy="4013200"/>
            <wp:effectExtent l="0" t="0" r="0" b="0"/>
            <wp:docPr id="6" name="image7.jpg" descr="A group of blue and orange dot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g" descr="A group of blue and orange dots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1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8FEDFB" w14:textId="77777777" w:rsidR="00E645FF" w:rsidRPr="009A0FEE" w:rsidRDefault="00E645FF" w:rsidP="00E645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A0FE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Supplementary Fig. 1.</w:t>
      </w:r>
      <w:r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Dots represent single observations of negative and positive impacts having different impact magnitude (strong vs. weak) across years, with a jitter function to prevent overlap. Numbers in brackets represent the sample size for each group. Note that no impact observation, whether positive and negative, was assigned a “Massive” level of magnitude.</w:t>
      </w:r>
    </w:p>
    <w:p w14:paraId="12A9677D" w14:textId="77777777" w:rsidR="00E645FF" w:rsidRPr="009A0FEE" w:rsidRDefault="00E645FF" w:rsidP="00E645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7F3EDD2" w14:textId="77777777" w:rsidR="00E645FF" w:rsidRPr="009A0FEE" w:rsidRDefault="00E645FF" w:rsidP="00E645FF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3F748BD" w14:textId="77777777" w:rsidR="00E645FF" w:rsidRPr="009A0FEE" w:rsidRDefault="00E645FF" w:rsidP="00E645F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A0FE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114300" distB="114300" distL="114300" distR="114300" wp14:anchorId="43AAE545" wp14:editId="3254880C">
            <wp:extent cx="5731200" cy="2578100"/>
            <wp:effectExtent l="0" t="0" r="0" b="0"/>
            <wp:docPr id="1" name="image1.jpg" descr="A chart of different colored circl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chart of different colored circle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7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AE3E06" w14:textId="77777777" w:rsidR="00E645FF" w:rsidRPr="009A0FEE" w:rsidRDefault="00E645FF" w:rsidP="00E645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A0FE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Supplementary Fig. 2.</w:t>
      </w:r>
      <w:r w:rsidRPr="009A0FE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Percentage of impact observations assigned with different confidence with EICAT (A) and EICAT+ (B) at each level of impact magnitude. Asterisks indicate cases where the percentages differed significantly between negative (A) and positive impacts (B), as determined by pairwise Z-tests. P-values: *p&lt;.05; **p&lt;.01; p&lt;.001***. Numbers in brackets represent the sample size for each group. </w:t>
      </w:r>
    </w:p>
    <w:p w14:paraId="2AFBBD47" w14:textId="2E97645A" w:rsidR="009A0FEE" w:rsidRPr="009A0FEE" w:rsidRDefault="009A0F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A0FEE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References</w:t>
      </w:r>
    </w:p>
    <w:p w14:paraId="0BB3EECE" w14:textId="77777777" w:rsidR="009A0FEE" w:rsidRPr="009A0FEE" w:rsidRDefault="009A0FEE">
      <w:pPr>
        <w:rPr>
          <w:rFonts w:ascii="Times New Roman" w:hAnsi="Times New Roman" w:cs="Times New Roman"/>
          <w:lang w:val="en-GB"/>
        </w:rPr>
      </w:pPr>
    </w:p>
    <w:p w14:paraId="06E85D08" w14:textId="5DC6B432" w:rsidR="009A0FEE" w:rsidRPr="009A0FEE" w:rsidRDefault="009A0FEE">
      <w:pPr>
        <w:rPr>
          <w:rFonts w:ascii="Times New Roman" w:hAnsi="Times New Roman" w:cs="Times New Roman"/>
          <w:lang w:val="en-GB"/>
        </w:rPr>
      </w:pPr>
      <w:r w:rsidRPr="009A0FEE">
        <w:rPr>
          <w:rFonts w:ascii="Times New Roman" w:hAnsi="Times New Roman" w:cs="Times New Roman"/>
          <w:lang w:val="en-GB"/>
        </w:rPr>
        <w:t>IUCN. IUCN EICAT Categories and Criteria. The Environmental Impact Classification for Alien Taxa. IUCN EICAT Categories and Criteria: First Edition. (2020). doi:10.2305/IUCN.CH.2020.05.en.</w:t>
      </w:r>
    </w:p>
    <w:p w14:paraId="5D969B0E" w14:textId="77777777" w:rsidR="009A0FEE" w:rsidRPr="009A0FEE" w:rsidRDefault="009A0FEE">
      <w:pPr>
        <w:rPr>
          <w:rFonts w:ascii="Times New Roman" w:hAnsi="Times New Roman" w:cs="Times New Roman"/>
          <w:lang w:val="en-GB"/>
        </w:rPr>
      </w:pPr>
    </w:p>
    <w:p w14:paraId="46018534" w14:textId="1B45BDFF" w:rsidR="008E3978" w:rsidRPr="009A0FEE" w:rsidRDefault="009A0FEE">
      <w:pPr>
        <w:rPr>
          <w:rFonts w:ascii="Times New Roman" w:hAnsi="Times New Roman" w:cs="Times New Roman"/>
          <w:lang w:val="en-GB"/>
        </w:rPr>
      </w:pPr>
      <w:r w:rsidRPr="009A0FEE">
        <w:rPr>
          <w:rFonts w:ascii="Times New Roman" w:hAnsi="Times New Roman" w:cs="Times New Roman"/>
          <w:lang w:val="en-GB"/>
        </w:rPr>
        <w:t>Vimercati, G. et al. The EICAT+ framework enables classification of positive impacts of alien taxa on native biodiversity. PLOS Biology 20, e3001729 (2022).</w:t>
      </w:r>
    </w:p>
    <w:p w14:paraId="654E4C1B" w14:textId="77777777" w:rsidR="009A0FEE" w:rsidRPr="009A0FEE" w:rsidRDefault="009A0FEE">
      <w:pPr>
        <w:rPr>
          <w:rFonts w:ascii="Times New Roman" w:hAnsi="Times New Roman" w:cs="Times New Roman"/>
          <w:lang w:val="en-GB"/>
        </w:rPr>
      </w:pPr>
    </w:p>
    <w:p w14:paraId="00E1F7B4" w14:textId="06FE1DB7" w:rsidR="009A0FEE" w:rsidRPr="009A0FEE" w:rsidRDefault="009A0FEE">
      <w:pPr>
        <w:rPr>
          <w:rFonts w:ascii="Times New Roman" w:hAnsi="Times New Roman" w:cs="Times New Roman"/>
          <w:lang w:val="en-GB"/>
        </w:rPr>
      </w:pPr>
      <w:r w:rsidRPr="009A0FEE">
        <w:rPr>
          <w:rFonts w:ascii="Times New Roman" w:hAnsi="Times New Roman" w:cs="Times New Roman"/>
          <w:lang w:val="en-GB"/>
        </w:rPr>
        <w:t xml:space="preserve">Volery, L. et al. Improving the Environmental Impact Classification for Alien Taxa (EICAT): a summary of revisions to the framework and guidelines. </w:t>
      </w:r>
      <w:proofErr w:type="spellStart"/>
      <w:r w:rsidRPr="009A0FEE">
        <w:rPr>
          <w:rFonts w:ascii="Times New Roman" w:hAnsi="Times New Roman" w:cs="Times New Roman"/>
          <w:lang w:val="en-GB"/>
        </w:rPr>
        <w:t>NeoBiota</w:t>
      </w:r>
      <w:proofErr w:type="spellEnd"/>
      <w:r w:rsidRPr="009A0FEE">
        <w:rPr>
          <w:rFonts w:ascii="Times New Roman" w:hAnsi="Times New Roman" w:cs="Times New Roman"/>
          <w:lang w:val="en-GB"/>
        </w:rPr>
        <w:t xml:space="preserve"> 62, 547 (2020).</w:t>
      </w:r>
    </w:p>
    <w:sectPr w:rsidR="009A0FEE" w:rsidRPr="009A0FEE" w:rsidSect="00B744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7C793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C069F"/>
    <w:multiLevelType w:val="multilevel"/>
    <w:tmpl w:val="3FB8BFE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D9F2B40"/>
    <w:multiLevelType w:val="multilevel"/>
    <w:tmpl w:val="CD00F6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731894">
    <w:abstractNumId w:val="0"/>
  </w:num>
  <w:num w:numId="2" w16cid:durableId="69765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F2"/>
    <w:rsid w:val="0006795C"/>
    <w:rsid w:val="000B57A9"/>
    <w:rsid w:val="00114A37"/>
    <w:rsid w:val="00115511"/>
    <w:rsid w:val="0012618D"/>
    <w:rsid w:val="00174F0A"/>
    <w:rsid w:val="00196961"/>
    <w:rsid w:val="001C48A1"/>
    <w:rsid w:val="0033169F"/>
    <w:rsid w:val="00350729"/>
    <w:rsid w:val="003D4E90"/>
    <w:rsid w:val="004174D9"/>
    <w:rsid w:val="00543ABE"/>
    <w:rsid w:val="005F0245"/>
    <w:rsid w:val="005F51F2"/>
    <w:rsid w:val="00637242"/>
    <w:rsid w:val="006B7679"/>
    <w:rsid w:val="006D0456"/>
    <w:rsid w:val="007518D3"/>
    <w:rsid w:val="008115DA"/>
    <w:rsid w:val="0087463E"/>
    <w:rsid w:val="008C4869"/>
    <w:rsid w:val="008E3978"/>
    <w:rsid w:val="008F0323"/>
    <w:rsid w:val="009023B5"/>
    <w:rsid w:val="00932DCD"/>
    <w:rsid w:val="0096655F"/>
    <w:rsid w:val="00973891"/>
    <w:rsid w:val="009A0FEE"/>
    <w:rsid w:val="009D08BC"/>
    <w:rsid w:val="009E41F7"/>
    <w:rsid w:val="009E75CC"/>
    <w:rsid w:val="009F1D82"/>
    <w:rsid w:val="00B704C3"/>
    <w:rsid w:val="00B74466"/>
    <w:rsid w:val="00C36D2D"/>
    <w:rsid w:val="00D54069"/>
    <w:rsid w:val="00D92367"/>
    <w:rsid w:val="00E239FD"/>
    <w:rsid w:val="00E645FF"/>
    <w:rsid w:val="00E84EC7"/>
    <w:rsid w:val="00EF1881"/>
    <w:rsid w:val="00EF6CF1"/>
    <w:rsid w:val="00F94AE7"/>
    <w:rsid w:val="00FC52D4"/>
    <w:rsid w:val="00FD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CE78"/>
  <w15:chartTrackingRefBased/>
  <w15:docId w15:val="{0473DC2D-D1F7-4517-A366-D09B9F44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5FF"/>
    <w:pPr>
      <w:spacing w:after="0" w:line="276" w:lineRule="auto"/>
    </w:pPr>
    <w:rPr>
      <w:rFonts w:ascii="Arial" w:eastAsia="Arial" w:hAnsi="Arial" w:cs="Arial"/>
      <w:kern w:val="0"/>
      <w:lang w:val="fr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1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1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1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1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4434</Characters>
  <Application>Microsoft Office Word</Application>
  <DocSecurity>0</DocSecurity>
  <Lines>36</Lines>
  <Paragraphs>10</Paragraphs>
  <ScaleCrop>false</ScaleCrop>
  <Company>UNIFR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VIMERCATI Giovanni</dc:creator>
  <cp:keywords/>
  <dc:description/>
  <cp:lastModifiedBy>VIMERCATI Giovanni</cp:lastModifiedBy>
  <cp:revision>3</cp:revision>
  <dcterms:created xsi:type="dcterms:W3CDTF">2024-08-22T15:02:00Z</dcterms:created>
  <dcterms:modified xsi:type="dcterms:W3CDTF">2024-08-22T15:08:00Z</dcterms:modified>
</cp:coreProperties>
</file>