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Article title: Mountains as key areas for Carnivore Connectivity in Neotropical Grasslands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2">
      <w:pPr>
        <w:ind w:left="0" w:firstLine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Journal name:  Mammalian Biology </w:t>
      </w:r>
    </w:p>
    <w:p w:rsidR="00000000" w:rsidDel="00000000" w:rsidP="00000000" w:rsidRDefault="00000000" w:rsidRPr="00000000" w14:paraId="00000003">
      <w:pPr>
        <w:ind w:left="0" w:firstLine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Author names: Aranguren María Florencia, Simoy María Veronica, Pizzarello María Gimena, Trofino-Falasco Clara, Velasco Melina Alicia, Leber Virginia, Franzoia Moss Daniella, Dopazo Judit and Berkunsky Igor</w:t>
      </w:r>
    </w:p>
    <w:p w:rsidR="00000000" w:rsidDel="00000000" w:rsidP="00000000" w:rsidRDefault="00000000" w:rsidRPr="00000000" w14:paraId="00000004">
      <w:pPr>
        <w:ind w:left="0" w:firstLine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e-mail address of the corresponding author: </w:t>
      </w:r>
      <w:hyperlink r:id="rId6">
        <w:r w:rsidDel="00000000" w:rsidR="00000000" w:rsidRPr="00000000">
          <w:rPr>
            <w:rFonts w:ascii="Calibri" w:cs="Calibri" w:eastAsia="Calibri" w:hAnsi="Calibri"/>
            <w:color w:val="1155cc"/>
            <w:sz w:val="22"/>
            <w:szCs w:val="22"/>
            <w:u w:val="single"/>
            <w:rtl w:val="0"/>
          </w:rPr>
          <w:t xml:space="preserve">arangurenflorencia@gmail.com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Affiliation: Instituto Multidisciplinario sobre Ecosistemas y Desarrollo Sustentable-CICPBA, Universidad Nacional del Centro de la Provincia de Buenos Aires, Tandil, Argentina.</w:t>
      </w:r>
    </w:p>
    <w:p w:rsidR="00000000" w:rsidDel="00000000" w:rsidP="00000000" w:rsidRDefault="00000000" w:rsidRPr="00000000" w14:paraId="00000006">
      <w:pPr>
        <w:ind w:left="0" w:firstLine="0"/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0"/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Supplementary Informatión 1</w:t>
      </w:r>
    </w:p>
    <w:p w:rsidR="00000000" w:rsidDel="00000000" w:rsidP="00000000" w:rsidRDefault="00000000" w:rsidRPr="00000000" w14:paraId="00000008">
      <w:pPr>
        <w:ind w:firstLine="72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Table 1 Bioclimatic variables.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Bioclimatic variables used for climate niche modeling.</w:t>
      </w:r>
    </w:p>
    <w:p w:rsidR="00000000" w:rsidDel="00000000" w:rsidP="00000000" w:rsidRDefault="00000000" w:rsidRPr="00000000" w14:paraId="0000000A">
      <w:pPr>
        <w:ind w:left="0" w:firstLine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9015.0" w:type="dxa"/>
        <w:jc w:val="left"/>
        <w:tblLayout w:type="fixed"/>
        <w:tblLook w:val="0600"/>
      </w:tblPr>
      <w:tblGrid>
        <w:gridCol w:w="1125"/>
        <w:gridCol w:w="7890"/>
        <w:tblGridChange w:id="0">
          <w:tblGrid>
            <w:gridCol w:w="1125"/>
            <w:gridCol w:w="7890"/>
          </w:tblGrid>
        </w:tblGridChange>
      </w:tblGrid>
      <w:tr>
        <w:trPr>
          <w:cantSplit w:val="0"/>
          <w:trHeight w:val="314.8378906250013" w:hRule="atLeast"/>
          <w:tblHeader w:val="0"/>
        </w:trPr>
        <w:tc>
          <w:tcPr>
            <w:tcBorders>
              <w:top w:color="06162f" w:space="0" w:sz="12" w:val="single"/>
              <w:left w:color="ffffff" w:space="0" w:sz="6" w:val="single"/>
              <w:bottom w:color="06162f" w:space="0" w:sz="12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Reference</w:t>
            </w:r>
          </w:p>
        </w:tc>
        <w:tc>
          <w:tcPr>
            <w:tcBorders>
              <w:top w:color="06162f" w:space="0" w:sz="12" w:val="single"/>
              <w:left w:color="ffffff" w:space="0" w:sz="6" w:val="single"/>
              <w:bottom w:color="06162f" w:space="0" w:sz="12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Variable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6162f" w:space="0" w:sz="12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</w:t>
            </w:r>
          </w:p>
        </w:tc>
        <w:tc>
          <w:tcPr>
            <w:tcBorders>
              <w:top w:color="06162f" w:space="0" w:sz="12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Average annual temperature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BIO2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Mean Diurnal Range (Mean of monthly (max temp - min temp))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BIO3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Isothermality (BIO2/BIO7) (×100)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BIO4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Temperature Seasonality (standard deviation ×100)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BIO5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Max Temperature of Warmest Month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BIO6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Min Temperature of Coldest Month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BIO7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Temperature Annual Range (BIO5-BIO6)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BIO8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Mean Temperature of Wettest Quarter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BIO9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Mean Temperature of Driest Quarter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BIO10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Mean Temperature of Warmest Quarter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BIO11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Mean Temperature of Coldest Quarter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BIO12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Annual Precipitation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BIO13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Precipitation of Wettest Month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BIO14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Precipitation of Driest Month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BIO15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Precipitation Seasonality (Coefficient of Variation)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BIO16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Precipitation of Wettest Quarter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BIO17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Precipitation of Driest Quarter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BIO18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ffffff" w:space="0" w:sz="6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Precipitation of Warmest Quarter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000000" w:space="0" w:sz="12" w:val="single"/>
              <w:right w:color="ffffff" w:space="0" w:sz="12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BIO19</w:t>
            </w:r>
          </w:p>
        </w:tc>
        <w:tc>
          <w:tcPr>
            <w:tcBorders>
              <w:top w:color="ffffff" w:space="0" w:sz="6" w:val="single"/>
              <w:left w:color="ffffff" w:space="0" w:sz="12" w:val="single"/>
              <w:bottom w:color="000000" w:space="0" w:sz="12" w:val="single"/>
              <w:right w:color="ffffff" w:space="0" w:sz="6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Precipitation of Coldest Quarter</w:t>
            </w:r>
          </w:p>
        </w:tc>
      </w:tr>
    </w:tbl>
    <w:p w:rsidR="00000000" w:rsidDel="00000000" w:rsidP="00000000" w:rsidRDefault="00000000" w:rsidRPr="00000000" w14:paraId="0000003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Table 2 Land use cover categories.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It represents the original classification of land cover categories and how we grouped them for analysis.</w:t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560.0" w:type="dxa"/>
        <w:jc w:val="left"/>
        <w:tblInd w:w="-79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50"/>
        <w:gridCol w:w="510"/>
        <w:gridCol w:w="4800"/>
        <w:tblGridChange w:id="0">
          <w:tblGrid>
            <w:gridCol w:w="5250"/>
            <w:gridCol w:w="510"/>
            <w:gridCol w:w="48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Original coverage             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ID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Bundled coverage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Forest formation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Forest and woody formation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Savanna formation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Silviculture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Wetland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Wetland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Grassland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Grassland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Pasture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15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Agriculture or pasture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Agriculture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Agriculture or pasture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Non vegetated area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Non vegetated area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Urban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River, lake or ocean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Body of water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Not observed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Not observed</w:t>
            </w:r>
          </w:p>
        </w:tc>
      </w:tr>
    </w:tbl>
    <w:p w:rsidR="00000000" w:rsidDel="00000000" w:rsidP="00000000" w:rsidRDefault="00000000" w:rsidRPr="00000000" w14:paraId="0000006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Table 3 Results obtained from climate niche modeling.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The modeling results using the 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kuenm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program are presented, showing the total number of models obtained and the models that met the selection criteria.</w:t>
      </w:r>
    </w:p>
    <w:p w:rsidR="00000000" w:rsidDel="00000000" w:rsidP="00000000" w:rsidRDefault="00000000" w:rsidRPr="00000000" w14:paraId="00000066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75.0" w:type="dxa"/>
        <w:jc w:val="left"/>
        <w:tblInd w:w="-6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7515"/>
        <w:gridCol w:w="1560"/>
        <w:tblGridChange w:id="0">
          <w:tblGrid>
            <w:gridCol w:w="7515"/>
            <w:gridCol w:w="1560"/>
          </w:tblGrid>
        </w:tblGridChange>
      </w:tblGrid>
      <w:tr>
        <w:trPr>
          <w:cantSplit w:val="0"/>
          <w:trHeight w:val="334.98046875" w:hRule="atLeast"/>
          <w:tblHeader w:val="0"/>
        </w:trPr>
        <w:tc>
          <w:tcPr>
            <w:tcBorders>
              <w:top w:color="000000" w:space="0" w:sz="12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uto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Criteria</w:t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auto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Number of models</w:t>
            </w:r>
          </w:p>
        </w:tc>
      </w:tr>
      <w:tr>
        <w:trPr>
          <w:cantSplit w:val="0"/>
          <w:trHeight w:val="493.2598425196851" w:hRule="atLeast"/>
          <w:tblHeader w:val="0"/>
        </w:trPr>
        <w:tc>
          <w:tcPr>
            <w:gridSpan w:val="2"/>
            <w:tcBorders>
              <w:top w:color="000000" w:space="0" w:sz="12" w:val="single"/>
              <w:left w:color="ffffff" w:space="0" w:sz="8" w:val="single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2"/>
                <w:szCs w:val="22"/>
                <w:rtl w:val="0"/>
              </w:rPr>
              <w:t xml:space="preserve">Lycalopex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22"/>
                <w:szCs w:val="22"/>
                <w:rtl w:val="0"/>
              </w:rPr>
              <w:t xml:space="preserve">gymnocercus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All candidate models</w:t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186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186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Models meeting omission rate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44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Models meeting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omission rate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44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omission rate and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12" w:val="single"/>
              <w:left w:color="ffffff" w:space="0" w:sz="8" w:val="single"/>
              <w:bottom w:color="000000" w:space="0" w:sz="12" w:val="single"/>
              <w:right w:color="808080" w:space="0" w:sz="6" w:val="single"/>
            </w:tcBorders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2"/>
                <w:szCs w:val="22"/>
                <w:rtl w:val="0"/>
              </w:rPr>
              <w:t xml:space="preserve">Leopardus geoffroyi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All candidate models</w:t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186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185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Models meeting omission rate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Models meeting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omission rate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omission rate and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12" w:val="single"/>
              <w:left w:color="ffffff" w:space="0" w:sz="8" w:val="single"/>
              <w:bottom w:color="000000" w:space="0" w:sz="12" w:val="single"/>
              <w:right w:color="000000" w:space="0" w:sz="6" w:val="single"/>
            </w:tcBorders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numPr>
                <w:ilvl w:val="0"/>
                <w:numId w:val="3"/>
              </w:numPr>
              <w:ind w:left="720" w:hanging="360"/>
              <w:rPr>
                <w:rFonts w:ascii="Arial" w:cs="Arial" w:eastAsia="Arial" w:hAnsi="Arial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2"/>
                <w:szCs w:val="22"/>
                <w:rtl w:val="0"/>
              </w:rPr>
              <w:t xml:space="preserve">Conepatus chinga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All candidate models</w:t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186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184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Models meeting omission rate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Models meeting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omission rate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omission rate and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12" w:val="single"/>
              <w:left w:color="ffffff" w:space="0" w:sz="8" w:val="single"/>
              <w:bottom w:color="000000" w:space="0" w:sz="12" w:val="single"/>
              <w:right w:color="000000" w:space="0" w:sz="6" w:val="single"/>
            </w:tcBorders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numPr>
                <w:ilvl w:val="0"/>
                <w:numId w:val="4"/>
              </w:numPr>
              <w:ind w:left="720" w:hanging="360"/>
              <w:rPr>
                <w:rFonts w:ascii="Arial" w:cs="Arial" w:eastAsia="Arial" w:hAnsi="Arial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2"/>
                <w:szCs w:val="22"/>
                <w:rtl w:val="0"/>
              </w:rPr>
              <w:t xml:space="preserve">Puma concolor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All candidate models</w:t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186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129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Models meeting omission rate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148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Models meeting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omission rate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91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omission rate and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6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12" w:val="single"/>
              <w:left w:color="ffffff" w:space="0" w:sz="8" w:val="single"/>
              <w:bottom w:color="000000" w:space="0" w:sz="12" w:val="single"/>
              <w:right w:color="434343" w:space="0" w:sz="6" w:val="single"/>
            </w:tcBorders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numPr>
                <w:ilvl w:val="0"/>
                <w:numId w:val="5"/>
              </w:numPr>
              <w:ind w:left="720" w:hanging="360"/>
              <w:rPr>
                <w:rFonts w:ascii="Arial" w:cs="Arial" w:eastAsia="Arial" w:hAnsi="Arial"/>
                <w:i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sz w:val="22"/>
                <w:szCs w:val="22"/>
                <w:rtl w:val="0"/>
              </w:rPr>
              <w:t xml:space="preserve">Galictis cuja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All candidate models</w:t>
            </w:r>
          </w:p>
        </w:tc>
        <w:tc>
          <w:tcPr>
            <w:tcBorders>
              <w:top w:color="000000" w:space="0" w:sz="12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186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185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Models meeting omission rate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Models meeting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omission rate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Statistically significant models meeting omission rate and AICc criteria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12" w:val="single"/>
              <w:right w:color="ffffff" w:space="0" w:sz="8" w:val="single"/>
            </w:tcBorders>
            <w:shd w:fill="f3f3f3" w:val="clear"/>
            <w:tcMar>
              <w:top w:w="136.62992125984255" w:type="dxa"/>
              <w:left w:w="136.62992125984255" w:type="dxa"/>
              <w:bottom w:w="136.62992125984255" w:type="dxa"/>
              <w:right w:w="136.62992125984255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</w:t>
            </w:r>
          </w:p>
        </w:tc>
      </w:tr>
    </w:tbl>
    <w:p w:rsidR="00000000" w:rsidDel="00000000" w:rsidP="00000000" w:rsidRDefault="00000000" w:rsidRPr="00000000" w14:paraId="000000B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Verdana"/>
  <w:font w:name="Cambria"/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both"/>
    </w:pPr>
    <w:rPr>
      <w:rFonts w:ascii="Verdana" w:cs="Verdana" w:eastAsia="Verdana" w:hAnsi="Verdana"/>
      <w:b w:val="1"/>
      <w:smallCaps w:val="0"/>
      <w:color w:val="000000"/>
      <w:sz w:val="22"/>
      <w:szCs w:val="22"/>
    </w:rPr>
  </w:style>
  <w:style w:type="paragraph" w:styleId="Heading2">
    <w:name w:val="heading 2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Cambria" w:cs="Cambria" w:eastAsia="Cambria" w:hAnsi="Cambria"/>
      <w:b w:val="1"/>
      <w:i w:val="1"/>
      <w:smallCaps w:val="0"/>
      <w:sz w:val="28"/>
      <w:szCs w:val="28"/>
    </w:rPr>
  </w:style>
  <w:style w:type="paragraph" w:styleId="Heading3">
    <w:name w:val="heading 3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  <w:jc w:val="center"/>
    </w:pPr>
    <w:rPr>
      <w:rFonts w:ascii="Arial" w:cs="Arial" w:eastAsia="Arial" w:hAnsi="Arial"/>
      <w:b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rFonts w:ascii="Arial" w:cs="Arial" w:eastAsia="Arial" w:hAnsi="Arial"/>
      <w:smallCaps w:val="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fill="ffffff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rangurenflorenci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