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42CF7" w14:textId="77777777" w:rsidR="006D678C" w:rsidRPr="00BB67EA" w:rsidRDefault="006D678C" w:rsidP="006D678C">
      <w:pPr>
        <w:spacing w:after="160" w:line="259" w:lineRule="auto"/>
        <w:rPr>
          <w:rFonts w:eastAsia="Calibri"/>
          <w:sz w:val="28"/>
          <w:szCs w:val="28"/>
        </w:rPr>
      </w:pPr>
      <w:r w:rsidRPr="00BB67EA">
        <w:rPr>
          <w:rFonts w:eastAsia="Calibri"/>
          <w:sz w:val="28"/>
          <w:szCs w:val="28"/>
        </w:rPr>
        <w:t>Supplementary material</w:t>
      </w:r>
    </w:p>
    <w:p w14:paraId="40CDBAED" w14:textId="77777777" w:rsidR="006D678C" w:rsidRPr="00BB67EA" w:rsidRDefault="006D678C" w:rsidP="006D678C">
      <w:pPr>
        <w:spacing w:after="160" w:line="259" w:lineRule="auto"/>
        <w:rPr>
          <w:rFonts w:eastAsia="Calibri"/>
          <w:sz w:val="28"/>
          <w:szCs w:val="28"/>
        </w:rPr>
      </w:pPr>
    </w:p>
    <w:p w14:paraId="2F88DC9B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b/>
          <w:bCs/>
          <w:sz w:val="22"/>
          <w:szCs w:val="22"/>
        </w:rPr>
        <w:t>Table S1.</w:t>
      </w:r>
      <w:r w:rsidRPr="00BB67EA">
        <w:rPr>
          <w:rFonts w:eastAsia="Calibri"/>
          <w:sz w:val="22"/>
          <w:szCs w:val="22"/>
        </w:rPr>
        <w:t xml:space="preserve"> Treatment-emergent AEs (related TEAEs) related to treatment reported during the 6-year treatment with ADV7103. </w:t>
      </w:r>
    </w:p>
    <w:tbl>
      <w:tblPr>
        <w:tblStyle w:val="Grilledutableau5"/>
        <w:tblW w:w="9327" w:type="dxa"/>
        <w:tblLayout w:type="fixed"/>
        <w:tblLook w:val="04A0" w:firstRow="1" w:lastRow="0" w:firstColumn="1" w:lastColumn="0" w:noHBand="0" w:noVBand="1"/>
      </w:tblPr>
      <w:tblGrid>
        <w:gridCol w:w="4221"/>
        <w:gridCol w:w="1602"/>
        <w:gridCol w:w="1895"/>
        <w:gridCol w:w="1609"/>
      </w:tblGrid>
      <w:tr w:rsidR="006D678C" w:rsidRPr="00E3471B" w14:paraId="7D66E867" w14:textId="77777777" w:rsidTr="002A650B">
        <w:trPr>
          <w:trHeight w:val="340"/>
        </w:trPr>
        <w:tc>
          <w:tcPr>
            <w:tcW w:w="4221" w:type="dxa"/>
            <w:vMerge w:val="restart"/>
            <w:shd w:val="clear" w:color="auto" w:fill="D9E2F3"/>
            <w:hideMark/>
          </w:tcPr>
          <w:p w14:paraId="3083FD3A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Body system</w:t>
            </w:r>
          </w:p>
          <w:p w14:paraId="52966885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Preferred term</w:t>
            </w:r>
          </w:p>
        </w:tc>
        <w:tc>
          <w:tcPr>
            <w:tcW w:w="1602" w:type="dxa"/>
            <w:vMerge w:val="restart"/>
            <w:shd w:val="clear" w:color="auto" w:fill="D9E2F3"/>
            <w:hideMark/>
          </w:tcPr>
          <w:p w14:paraId="6F3496F9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 xml:space="preserve">N related TEAEs </w:t>
            </w:r>
          </w:p>
        </w:tc>
        <w:tc>
          <w:tcPr>
            <w:tcW w:w="3504" w:type="dxa"/>
            <w:gridSpan w:val="2"/>
            <w:shd w:val="clear" w:color="auto" w:fill="D9E2F3"/>
          </w:tcPr>
          <w:p w14:paraId="4F90B46F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Patients with at least one related-TEAE, all patients (N=30)</w:t>
            </w:r>
          </w:p>
        </w:tc>
      </w:tr>
      <w:tr w:rsidR="006D678C" w:rsidRPr="00E3471B" w14:paraId="12FB7D7D" w14:textId="77777777" w:rsidTr="002A650B">
        <w:trPr>
          <w:trHeight w:val="340"/>
        </w:trPr>
        <w:tc>
          <w:tcPr>
            <w:tcW w:w="4221" w:type="dxa"/>
            <w:vMerge/>
            <w:shd w:val="clear" w:color="auto" w:fill="D9E2F3"/>
          </w:tcPr>
          <w:p w14:paraId="6FEEAEB4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</w:p>
        </w:tc>
        <w:tc>
          <w:tcPr>
            <w:tcW w:w="1602" w:type="dxa"/>
            <w:vMerge/>
            <w:shd w:val="clear" w:color="auto" w:fill="D9E2F3"/>
          </w:tcPr>
          <w:p w14:paraId="32B10FD3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</w:p>
        </w:tc>
        <w:tc>
          <w:tcPr>
            <w:tcW w:w="1895" w:type="dxa"/>
            <w:shd w:val="clear" w:color="auto" w:fill="D9E2F3"/>
          </w:tcPr>
          <w:p w14:paraId="4DB8E2CD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rFonts w:eastAsia="Yu Gothic Light"/>
                <w:sz w:val="22"/>
                <w:szCs w:val="22"/>
              </w:rPr>
              <w:t>n</w:t>
            </w:r>
          </w:p>
        </w:tc>
        <w:tc>
          <w:tcPr>
            <w:tcW w:w="1609" w:type="dxa"/>
            <w:shd w:val="clear" w:color="auto" w:fill="D9E2F3"/>
          </w:tcPr>
          <w:p w14:paraId="48E1A172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%</w:t>
            </w:r>
          </w:p>
        </w:tc>
      </w:tr>
      <w:tr w:rsidR="006D678C" w:rsidRPr="00BB67EA" w14:paraId="34B2C567" w14:textId="77777777" w:rsidTr="002A650B">
        <w:trPr>
          <w:trHeight w:val="454"/>
        </w:trPr>
        <w:tc>
          <w:tcPr>
            <w:tcW w:w="4221" w:type="dxa"/>
            <w:vAlign w:val="center"/>
          </w:tcPr>
          <w:p w14:paraId="5509ED8A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All</w:t>
            </w:r>
          </w:p>
        </w:tc>
        <w:tc>
          <w:tcPr>
            <w:tcW w:w="1602" w:type="dxa"/>
            <w:vAlign w:val="center"/>
          </w:tcPr>
          <w:p w14:paraId="78EAABC2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13</w:t>
            </w:r>
          </w:p>
        </w:tc>
        <w:tc>
          <w:tcPr>
            <w:tcW w:w="1895" w:type="dxa"/>
            <w:vAlign w:val="center"/>
          </w:tcPr>
          <w:p w14:paraId="5DCC2F81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6</w:t>
            </w:r>
          </w:p>
        </w:tc>
        <w:tc>
          <w:tcPr>
            <w:tcW w:w="1609" w:type="dxa"/>
            <w:vAlign w:val="center"/>
          </w:tcPr>
          <w:p w14:paraId="7D4755C8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20.0</w:t>
            </w:r>
          </w:p>
        </w:tc>
      </w:tr>
      <w:tr w:rsidR="006D678C" w:rsidRPr="00BB67EA" w14:paraId="46AC6AD4" w14:textId="77777777" w:rsidTr="002A650B">
        <w:trPr>
          <w:trHeight w:val="454"/>
        </w:trPr>
        <w:tc>
          <w:tcPr>
            <w:tcW w:w="4221" w:type="dxa"/>
            <w:vAlign w:val="center"/>
          </w:tcPr>
          <w:p w14:paraId="494BE20D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Gastrointestinal disorders</w:t>
            </w:r>
          </w:p>
        </w:tc>
        <w:tc>
          <w:tcPr>
            <w:tcW w:w="1602" w:type="dxa"/>
            <w:vAlign w:val="center"/>
          </w:tcPr>
          <w:p w14:paraId="7F2BDA32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11</w:t>
            </w:r>
          </w:p>
        </w:tc>
        <w:tc>
          <w:tcPr>
            <w:tcW w:w="1895" w:type="dxa"/>
            <w:vAlign w:val="center"/>
          </w:tcPr>
          <w:p w14:paraId="505EA953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5</w:t>
            </w:r>
          </w:p>
        </w:tc>
        <w:tc>
          <w:tcPr>
            <w:tcW w:w="1609" w:type="dxa"/>
            <w:vAlign w:val="center"/>
          </w:tcPr>
          <w:p w14:paraId="5A92A40D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16.7</w:t>
            </w:r>
          </w:p>
        </w:tc>
      </w:tr>
      <w:tr w:rsidR="006D678C" w:rsidRPr="00BB67EA" w14:paraId="5277C872" w14:textId="77777777" w:rsidTr="002A650B">
        <w:trPr>
          <w:trHeight w:val="454"/>
        </w:trPr>
        <w:tc>
          <w:tcPr>
            <w:tcW w:w="4221" w:type="dxa"/>
            <w:vAlign w:val="center"/>
            <w:hideMark/>
          </w:tcPr>
          <w:p w14:paraId="5F8B1444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Abdominal pain</w:t>
            </w:r>
          </w:p>
        </w:tc>
        <w:tc>
          <w:tcPr>
            <w:tcW w:w="1602" w:type="dxa"/>
            <w:vAlign w:val="center"/>
            <w:hideMark/>
          </w:tcPr>
          <w:p w14:paraId="759558F4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2</w:t>
            </w:r>
          </w:p>
        </w:tc>
        <w:tc>
          <w:tcPr>
            <w:tcW w:w="1895" w:type="dxa"/>
            <w:vAlign w:val="center"/>
          </w:tcPr>
          <w:p w14:paraId="7D828A30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2</w:t>
            </w:r>
          </w:p>
        </w:tc>
        <w:tc>
          <w:tcPr>
            <w:tcW w:w="1609" w:type="dxa"/>
            <w:vAlign w:val="center"/>
          </w:tcPr>
          <w:p w14:paraId="13FC55E4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6.7</w:t>
            </w:r>
          </w:p>
        </w:tc>
      </w:tr>
      <w:tr w:rsidR="006D678C" w:rsidRPr="00BB67EA" w14:paraId="7C753ACC" w14:textId="77777777" w:rsidTr="002A650B">
        <w:trPr>
          <w:trHeight w:val="454"/>
        </w:trPr>
        <w:tc>
          <w:tcPr>
            <w:tcW w:w="4221" w:type="dxa"/>
            <w:vAlign w:val="center"/>
            <w:hideMark/>
          </w:tcPr>
          <w:p w14:paraId="5851953B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Abdominal pain upper</w:t>
            </w:r>
          </w:p>
        </w:tc>
        <w:tc>
          <w:tcPr>
            <w:tcW w:w="1602" w:type="dxa"/>
            <w:vAlign w:val="center"/>
            <w:hideMark/>
          </w:tcPr>
          <w:p w14:paraId="4CD6CDC7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2</w:t>
            </w:r>
          </w:p>
        </w:tc>
        <w:tc>
          <w:tcPr>
            <w:tcW w:w="1895" w:type="dxa"/>
            <w:vAlign w:val="center"/>
          </w:tcPr>
          <w:p w14:paraId="67A120DC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2</w:t>
            </w:r>
          </w:p>
        </w:tc>
        <w:tc>
          <w:tcPr>
            <w:tcW w:w="1609" w:type="dxa"/>
            <w:vAlign w:val="center"/>
          </w:tcPr>
          <w:p w14:paraId="2B768266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6.7</w:t>
            </w:r>
          </w:p>
        </w:tc>
      </w:tr>
      <w:tr w:rsidR="006D678C" w:rsidRPr="00BB67EA" w14:paraId="64724685" w14:textId="77777777" w:rsidTr="002A650B">
        <w:trPr>
          <w:trHeight w:val="454"/>
        </w:trPr>
        <w:tc>
          <w:tcPr>
            <w:tcW w:w="4221" w:type="dxa"/>
            <w:vAlign w:val="center"/>
            <w:hideMark/>
          </w:tcPr>
          <w:p w14:paraId="385DA9B5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Diarrhea</w:t>
            </w:r>
          </w:p>
        </w:tc>
        <w:tc>
          <w:tcPr>
            <w:tcW w:w="1602" w:type="dxa"/>
            <w:vAlign w:val="center"/>
            <w:hideMark/>
          </w:tcPr>
          <w:p w14:paraId="7C44597F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</w:t>
            </w:r>
          </w:p>
        </w:tc>
        <w:tc>
          <w:tcPr>
            <w:tcW w:w="1895" w:type="dxa"/>
            <w:vAlign w:val="center"/>
          </w:tcPr>
          <w:p w14:paraId="652A47AF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14:paraId="220CE9CE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3.3</w:t>
            </w:r>
          </w:p>
        </w:tc>
      </w:tr>
      <w:tr w:rsidR="006D678C" w:rsidRPr="00BB67EA" w14:paraId="0D2EF83A" w14:textId="77777777" w:rsidTr="002A650B">
        <w:trPr>
          <w:trHeight w:val="454"/>
        </w:trPr>
        <w:tc>
          <w:tcPr>
            <w:tcW w:w="4221" w:type="dxa"/>
            <w:vAlign w:val="center"/>
            <w:hideMark/>
          </w:tcPr>
          <w:p w14:paraId="0F084F7C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Dyspepsia</w:t>
            </w:r>
          </w:p>
        </w:tc>
        <w:tc>
          <w:tcPr>
            <w:tcW w:w="1602" w:type="dxa"/>
            <w:vAlign w:val="center"/>
            <w:hideMark/>
          </w:tcPr>
          <w:p w14:paraId="4CDE027E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2</w:t>
            </w:r>
          </w:p>
        </w:tc>
        <w:tc>
          <w:tcPr>
            <w:tcW w:w="1895" w:type="dxa"/>
            <w:vAlign w:val="center"/>
          </w:tcPr>
          <w:p w14:paraId="7C126952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2</w:t>
            </w:r>
          </w:p>
        </w:tc>
        <w:tc>
          <w:tcPr>
            <w:tcW w:w="1609" w:type="dxa"/>
            <w:vAlign w:val="center"/>
          </w:tcPr>
          <w:p w14:paraId="695F6EEA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6.7</w:t>
            </w:r>
          </w:p>
        </w:tc>
      </w:tr>
      <w:tr w:rsidR="006D678C" w:rsidRPr="00BB67EA" w14:paraId="280104B6" w14:textId="77777777" w:rsidTr="002A650B">
        <w:trPr>
          <w:trHeight w:val="454"/>
        </w:trPr>
        <w:tc>
          <w:tcPr>
            <w:tcW w:w="4221" w:type="dxa"/>
            <w:vAlign w:val="center"/>
            <w:hideMark/>
          </w:tcPr>
          <w:p w14:paraId="5DF58E27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Gastrointestinal disorder</w:t>
            </w:r>
          </w:p>
        </w:tc>
        <w:tc>
          <w:tcPr>
            <w:tcW w:w="1602" w:type="dxa"/>
            <w:vAlign w:val="center"/>
            <w:hideMark/>
          </w:tcPr>
          <w:p w14:paraId="305B5A24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895" w:type="dxa"/>
            <w:vAlign w:val="center"/>
          </w:tcPr>
          <w:p w14:paraId="3B9DE71A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14:paraId="33B7A9FC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3.3</w:t>
            </w:r>
          </w:p>
        </w:tc>
      </w:tr>
      <w:tr w:rsidR="006D678C" w:rsidRPr="00BB67EA" w14:paraId="2AB7F8C2" w14:textId="77777777" w:rsidTr="002A650B">
        <w:trPr>
          <w:trHeight w:val="454"/>
        </w:trPr>
        <w:tc>
          <w:tcPr>
            <w:tcW w:w="4221" w:type="dxa"/>
            <w:vAlign w:val="center"/>
            <w:hideMark/>
          </w:tcPr>
          <w:p w14:paraId="4A1E7DA1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Gastrointestinal pain</w:t>
            </w:r>
          </w:p>
        </w:tc>
        <w:tc>
          <w:tcPr>
            <w:tcW w:w="1602" w:type="dxa"/>
            <w:vAlign w:val="center"/>
            <w:hideMark/>
          </w:tcPr>
          <w:p w14:paraId="0EC65638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895" w:type="dxa"/>
            <w:vAlign w:val="center"/>
          </w:tcPr>
          <w:p w14:paraId="69E655D1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14:paraId="44772AF6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3.3</w:t>
            </w:r>
          </w:p>
        </w:tc>
      </w:tr>
      <w:tr w:rsidR="006D678C" w:rsidRPr="00BB67EA" w14:paraId="17976F87" w14:textId="77777777" w:rsidTr="002A650B">
        <w:trPr>
          <w:trHeight w:val="454"/>
        </w:trPr>
        <w:tc>
          <w:tcPr>
            <w:tcW w:w="4221" w:type="dxa"/>
            <w:vAlign w:val="center"/>
          </w:tcPr>
          <w:p w14:paraId="6ECEF8B3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Metabolism and nutrition disorders</w:t>
            </w:r>
          </w:p>
        </w:tc>
        <w:tc>
          <w:tcPr>
            <w:tcW w:w="1602" w:type="dxa"/>
            <w:vAlign w:val="center"/>
          </w:tcPr>
          <w:p w14:paraId="1527DD25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895" w:type="dxa"/>
            <w:vAlign w:val="center"/>
          </w:tcPr>
          <w:p w14:paraId="355BA07F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14:paraId="1728E9A0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3.3</w:t>
            </w:r>
          </w:p>
        </w:tc>
      </w:tr>
      <w:tr w:rsidR="006D678C" w:rsidRPr="00BB67EA" w14:paraId="3DFF2734" w14:textId="77777777" w:rsidTr="002A650B">
        <w:trPr>
          <w:trHeight w:val="454"/>
        </w:trPr>
        <w:tc>
          <w:tcPr>
            <w:tcW w:w="4221" w:type="dxa"/>
            <w:vAlign w:val="center"/>
          </w:tcPr>
          <w:p w14:paraId="279E3DB3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Hypokalemia</w:t>
            </w:r>
          </w:p>
        </w:tc>
        <w:tc>
          <w:tcPr>
            <w:tcW w:w="1602" w:type="dxa"/>
            <w:vAlign w:val="center"/>
          </w:tcPr>
          <w:p w14:paraId="7CB1C395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895" w:type="dxa"/>
            <w:vAlign w:val="center"/>
          </w:tcPr>
          <w:p w14:paraId="4AA916E0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14:paraId="53DF7101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3.3</w:t>
            </w:r>
          </w:p>
        </w:tc>
      </w:tr>
      <w:tr w:rsidR="006D678C" w:rsidRPr="00BB67EA" w14:paraId="61DB4AD4" w14:textId="77777777" w:rsidTr="002A650B">
        <w:trPr>
          <w:trHeight w:val="454"/>
        </w:trPr>
        <w:tc>
          <w:tcPr>
            <w:tcW w:w="4221" w:type="dxa"/>
            <w:vAlign w:val="center"/>
          </w:tcPr>
          <w:p w14:paraId="008FC8B1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Kidney and urinary disorders</w:t>
            </w:r>
          </w:p>
        </w:tc>
        <w:tc>
          <w:tcPr>
            <w:tcW w:w="1602" w:type="dxa"/>
            <w:vAlign w:val="center"/>
          </w:tcPr>
          <w:p w14:paraId="2712D6C4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895" w:type="dxa"/>
            <w:vAlign w:val="center"/>
          </w:tcPr>
          <w:p w14:paraId="18C5D3FB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14:paraId="7861FAB1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3.3</w:t>
            </w:r>
          </w:p>
        </w:tc>
      </w:tr>
      <w:tr w:rsidR="006D678C" w:rsidRPr="00BB67EA" w14:paraId="6024310F" w14:textId="77777777" w:rsidTr="002A650B">
        <w:trPr>
          <w:trHeight w:val="454"/>
        </w:trPr>
        <w:tc>
          <w:tcPr>
            <w:tcW w:w="4221" w:type="dxa"/>
            <w:vAlign w:val="center"/>
          </w:tcPr>
          <w:p w14:paraId="34D28640" w14:textId="77777777" w:rsidR="006D678C" w:rsidRPr="00BB67EA" w:rsidRDefault="006D678C" w:rsidP="002A650B">
            <w:pPr>
              <w:spacing w:before="40" w:after="40" w:line="259" w:lineRule="auto"/>
              <w:ind w:left="227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Nephrolithiasis</w:t>
            </w:r>
          </w:p>
        </w:tc>
        <w:tc>
          <w:tcPr>
            <w:tcW w:w="1602" w:type="dxa"/>
            <w:vAlign w:val="center"/>
          </w:tcPr>
          <w:p w14:paraId="0B7519EC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895" w:type="dxa"/>
            <w:vAlign w:val="center"/>
          </w:tcPr>
          <w:p w14:paraId="26702FF4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vAlign w:val="center"/>
          </w:tcPr>
          <w:p w14:paraId="38EC667A" w14:textId="77777777" w:rsidR="006D678C" w:rsidRPr="00BB67EA" w:rsidRDefault="006D678C" w:rsidP="002A650B">
            <w:pPr>
              <w:spacing w:before="40" w:after="40" w:line="259" w:lineRule="auto"/>
              <w:rPr>
                <w:rFonts w:eastAsia="Yu Gothic Light"/>
                <w:sz w:val="22"/>
                <w:szCs w:val="22"/>
              </w:rPr>
            </w:pPr>
            <w:r w:rsidRPr="00BB67EA">
              <w:rPr>
                <w:sz w:val="22"/>
                <w:szCs w:val="22"/>
              </w:rPr>
              <w:t>3.3</w:t>
            </w:r>
          </w:p>
        </w:tc>
      </w:tr>
    </w:tbl>
    <w:p w14:paraId="677AE503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sz w:val="22"/>
          <w:szCs w:val="22"/>
        </w:rPr>
        <w:t>N, number of evaluated patients; n, number of patients; TEAE, treatment-emergent adverse event.</w:t>
      </w:r>
    </w:p>
    <w:p w14:paraId="70B098C0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</w:p>
    <w:p w14:paraId="41E0F6D6" w14:textId="77777777" w:rsidR="006D678C" w:rsidRPr="00BB67EA" w:rsidRDefault="006D678C" w:rsidP="006D678C">
      <w:pPr>
        <w:spacing w:after="16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sz w:val="22"/>
          <w:szCs w:val="22"/>
        </w:rPr>
        <w:br w:type="page"/>
      </w:r>
    </w:p>
    <w:p w14:paraId="6E6A3799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b/>
          <w:bCs/>
          <w:sz w:val="22"/>
          <w:szCs w:val="22"/>
        </w:rPr>
        <w:lastRenderedPageBreak/>
        <w:t>Supplementary Figure S1.</w:t>
      </w:r>
      <w:r w:rsidRPr="00BB67EA">
        <w:rPr>
          <w:rFonts w:eastAsia="Calibri"/>
          <w:sz w:val="22"/>
          <w:szCs w:val="22"/>
        </w:rPr>
        <w:t xml:space="preserve"> Evolution of mean height Z-score by age group and in all patients (descriptive analysis).</w:t>
      </w:r>
    </w:p>
    <w:p w14:paraId="7BE3C9D6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noProof/>
          <w:sz w:val="22"/>
          <w:szCs w:val="22"/>
          <w:lang w:eastAsia="fr-FR"/>
        </w:rPr>
        <w:drawing>
          <wp:inline distT="0" distB="0" distL="0" distR="0" wp14:anchorId="0D57E564" wp14:editId="0007EBF9">
            <wp:extent cx="5760720" cy="3164205"/>
            <wp:effectExtent l="0" t="0" r="0" b="0"/>
            <wp:docPr id="100508087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30E40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</w:p>
    <w:p w14:paraId="1206A2AA" w14:textId="77777777" w:rsidR="006D678C" w:rsidRPr="00BB67EA" w:rsidRDefault="006D678C" w:rsidP="006D678C">
      <w:pPr>
        <w:spacing w:after="16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sz w:val="22"/>
          <w:szCs w:val="22"/>
        </w:rPr>
        <w:br w:type="page"/>
      </w:r>
    </w:p>
    <w:p w14:paraId="239B1F83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b/>
          <w:bCs/>
          <w:sz w:val="22"/>
          <w:szCs w:val="22"/>
        </w:rPr>
        <w:lastRenderedPageBreak/>
        <w:t>Supplementary Figure S2.</w:t>
      </w:r>
      <w:r w:rsidRPr="00BB67EA">
        <w:rPr>
          <w:rFonts w:eastAsia="Calibri"/>
          <w:sz w:val="22"/>
          <w:szCs w:val="22"/>
        </w:rPr>
        <w:t xml:space="preserve"> Evolution of mean plasma phosphate Z-score by age group and in all patients (descriptive analysis).</w:t>
      </w:r>
    </w:p>
    <w:p w14:paraId="1114B092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noProof/>
          <w:sz w:val="22"/>
          <w:szCs w:val="22"/>
          <w:lang w:eastAsia="fr-FR"/>
        </w:rPr>
        <w:drawing>
          <wp:inline distT="0" distB="0" distL="0" distR="0" wp14:anchorId="4AF45D3D" wp14:editId="1BA9C654">
            <wp:extent cx="5760720" cy="3164840"/>
            <wp:effectExtent l="0" t="0" r="0" b="0"/>
            <wp:docPr id="1166390693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8B8E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</w:p>
    <w:p w14:paraId="18E4C179" w14:textId="77777777" w:rsidR="006D678C" w:rsidRPr="00BB67EA" w:rsidRDefault="006D678C" w:rsidP="006D678C">
      <w:pPr>
        <w:spacing w:after="16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sz w:val="22"/>
          <w:szCs w:val="22"/>
        </w:rPr>
        <w:br w:type="page"/>
      </w:r>
    </w:p>
    <w:p w14:paraId="1ADEEE3D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b/>
          <w:bCs/>
          <w:sz w:val="22"/>
          <w:szCs w:val="22"/>
        </w:rPr>
        <w:lastRenderedPageBreak/>
        <w:t>Supplementary Figure S3.</w:t>
      </w:r>
      <w:r w:rsidRPr="00BB67EA">
        <w:rPr>
          <w:rFonts w:eastAsia="Calibri"/>
          <w:sz w:val="22"/>
          <w:szCs w:val="22"/>
        </w:rPr>
        <w:t xml:space="preserve"> Mean prescribed ADV7103 dose over time (mEq/kg/d) by age group and in all patients (descriptive analysis). Only the dose administered at the beginning of the interval was used for the analysis.</w:t>
      </w:r>
    </w:p>
    <w:p w14:paraId="7566653C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ascii="Calibri" w:eastAsia="Calibri" w:hAnsi="Calibri"/>
          <w:noProof/>
          <w:lang w:eastAsia="fr-FR"/>
        </w:rPr>
        <w:drawing>
          <wp:inline distT="0" distB="0" distL="0" distR="0" wp14:anchorId="5B2A4B79" wp14:editId="488F5CFB">
            <wp:extent cx="5760720" cy="3177802"/>
            <wp:effectExtent l="0" t="0" r="0" b="3810"/>
            <wp:docPr id="1418110129" name="Image 1" descr="Une image contenant diagramme, texte, lign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10129" name="Image 1" descr="Une image contenant diagramme, texte, ligne, Parallè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7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AF25" w14:textId="77777777" w:rsidR="006D678C" w:rsidRPr="00BB67EA" w:rsidRDefault="006D678C" w:rsidP="006D678C">
      <w:pPr>
        <w:spacing w:after="16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sz w:val="22"/>
          <w:szCs w:val="22"/>
        </w:rPr>
        <w:br w:type="page"/>
      </w:r>
    </w:p>
    <w:p w14:paraId="56BA247D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eastAsia="Calibri"/>
          <w:b/>
          <w:bCs/>
          <w:sz w:val="22"/>
          <w:szCs w:val="22"/>
        </w:rPr>
        <w:lastRenderedPageBreak/>
        <w:t>Supplementary Figure S4.</w:t>
      </w:r>
      <w:r w:rsidRPr="00BB67EA">
        <w:rPr>
          <w:rFonts w:eastAsia="Calibri"/>
          <w:sz w:val="22"/>
          <w:szCs w:val="22"/>
        </w:rPr>
        <w:t xml:space="preserve"> Long-term compliance in all patients (descriptive analysis).</w:t>
      </w:r>
    </w:p>
    <w:p w14:paraId="3E16A79A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  <w:r w:rsidRPr="00BB67EA">
        <w:rPr>
          <w:rFonts w:ascii="Calibri" w:eastAsia="Calibri" w:hAnsi="Calibri"/>
          <w:noProof/>
          <w:lang w:eastAsia="fr-FR"/>
        </w:rPr>
        <w:drawing>
          <wp:inline distT="0" distB="0" distL="0" distR="0" wp14:anchorId="515694E0" wp14:editId="019A3849">
            <wp:extent cx="5760720" cy="2305050"/>
            <wp:effectExtent l="0" t="0" r="0" b="0"/>
            <wp:docPr id="13510933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90C5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</w:p>
    <w:p w14:paraId="5D469687" w14:textId="77777777" w:rsidR="006D678C" w:rsidRPr="00BB67EA" w:rsidRDefault="006D678C" w:rsidP="006D678C">
      <w:pPr>
        <w:spacing w:after="120" w:line="259" w:lineRule="auto"/>
        <w:rPr>
          <w:rFonts w:eastAsia="Calibri"/>
          <w:sz w:val="22"/>
          <w:szCs w:val="22"/>
        </w:rPr>
      </w:pPr>
    </w:p>
    <w:p w14:paraId="7809A563" w14:textId="77777777" w:rsidR="006D678C" w:rsidRPr="00BB67EA" w:rsidRDefault="006D678C" w:rsidP="006D678C">
      <w:pPr>
        <w:spacing w:after="160" w:line="360" w:lineRule="auto"/>
        <w:rPr>
          <w:rFonts w:ascii="Calibri" w:eastAsia="Calibri" w:hAnsi="Calibri"/>
          <w:b/>
          <w:bCs/>
        </w:rPr>
      </w:pPr>
    </w:p>
    <w:p w14:paraId="251AB9D5" w14:textId="77777777" w:rsidR="006D678C" w:rsidRPr="00E3471B" w:rsidRDefault="006D678C" w:rsidP="006D678C">
      <w:pPr>
        <w:spacing w:after="200" w:line="276" w:lineRule="auto"/>
        <w:ind w:right="-142"/>
        <w:rPr>
          <w:b/>
        </w:rPr>
      </w:pPr>
    </w:p>
    <w:p w14:paraId="28D74994" w14:textId="77777777" w:rsidR="008C374B" w:rsidRDefault="008C374B"/>
    <w:sectPr w:rsidR="008C374B" w:rsidSect="006D67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58200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6DFE79" w14:textId="77777777" w:rsidR="00000000" w:rsidRPr="00E3471B" w:rsidRDefault="00000000" w:rsidP="00122212">
            <w:pPr>
              <w:pStyle w:val="Footer"/>
              <w:jc w:val="right"/>
            </w:pPr>
            <w:r w:rsidRPr="00E3471B">
              <w:t xml:space="preserve">Page </w:t>
            </w:r>
            <w:r w:rsidRPr="00E3471B">
              <w:rPr>
                <w:b/>
                <w:bCs/>
              </w:rPr>
              <w:fldChar w:fldCharType="begin"/>
            </w:r>
            <w:r w:rsidRPr="00E3471B">
              <w:rPr>
                <w:b/>
                <w:bCs/>
              </w:rPr>
              <w:instrText xml:space="preserve"> PAGE </w:instrText>
            </w:r>
            <w:r w:rsidRPr="00E3471B">
              <w:rPr>
                <w:b/>
                <w:bCs/>
              </w:rPr>
              <w:fldChar w:fldCharType="separate"/>
            </w:r>
            <w:r w:rsidRPr="00E3471B">
              <w:rPr>
                <w:b/>
                <w:bCs/>
              </w:rPr>
              <w:t>1</w:t>
            </w:r>
            <w:r w:rsidRPr="00E3471B">
              <w:rPr>
                <w:b/>
                <w:bCs/>
              </w:rPr>
              <w:fldChar w:fldCharType="end"/>
            </w:r>
            <w:r w:rsidRPr="00E3471B">
              <w:t xml:space="preserve"> of </w:t>
            </w:r>
            <w:r w:rsidRPr="00E3471B">
              <w:rPr>
                <w:b/>
                <w:bCs/>
              </w:rPr>
              <w:fldChar w:fldCharType="begin"/>
            </w:r>
            <w:r w:rsidRPr="00E3471B">
              <w:rPr>
                <w:b/>
                <w:bCs/>
              </w:rPr>
              <w:instrText xml:space="preserve"> NUMPAGES  </w:instrText>
            </w:r>
            <w:r w:rsidRPr="00E3471B">
              <w:rPr>
                <w:b/>
                <w:bCs/>
              </w:rPr>
              <w:fldChar w:fldCharType="separate"/>
            </w:r>
            <w:r w:rsidRPr="00E3471B">
              <w:rPr>
                <w:b/>
                <w:bCs/>
              </w:rPr>
              <w:t>32</w:t>
            </w:r>
            <w:r w:rsidRPr="00E347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8C"/>
    <w:rsid w:val="002A5090"/>
    <w:rsid w:val="003F36CB"/>
    <w:rsid w:val="0050680D"/>
    <w:rsid w:val="005C6F5D"/>
    <w:rsid w:val="006D678C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E8CAD"/>
  <w15:chartTrackingRefBased/>
  <w15:docId w15:val="{C309EE8E-81D4-4B0B-BBD7-E745ECD1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8C"/>
    <w:pPr>
      <w:spacing w:after="240" w:line="480" w:lineRule="auto"/>
      <w:jc w:val="both"/>
    </w:pPr>
    <w:rPr>
      <w:rFonts w:ascii="Arial" w:eastAsiaTheme="maj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78C"/>
    <w:pPr>
      <w:keepNext/>
      <w:keepLines/>
      <w:spacing w:before="360" w:after="80" w:line="259" w:lineRule="auto"/>
      <w:jc w:val="left"/>
      <w:outlineLvl w:val="0"/>
    </w:pPr>
    <w:rPr>
      <w:rFonts w:asciiTheme="majorHAnsi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78C"/>
    <w:pPr>
      <w:keepNext/>
      <w:keepLines/>
      <w:spacing w:before="160" w:after="80" w:line="259" w:lineRule="auto"/>
      <w:jc w:val="left"/>
      <w:outlineLvl w:val="1"/>
    </w:pPr>
    <w:rPr>
      <w:rFonts w:asciiTheme="majorHAnsi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78C"/>
    <w:pPr>
      <w:keepNext/>
      <w:keepLines/>
      <w:spacing w:before="160" w:after="80" w:line="259" w:lineRule="auto"/>
      <w:jc w:val="left"/>
      <w:outlineLvl w:val="2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78C"/>
    <w:pPr>
      <w:keepNext/>
      <w:keepLines/>
      <w:spacing w:before="80" w:after="40" w:line="259" w:lineRule="auto"/>
      <w:jc w:val="left"/>
      <w:outlineLvl w:val="3"/>
    </w:pPr>
    <w:rPr>
      <w:rFonts w:asciiTheme="minorHAnsi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78C"/>
    <w:pPr>
      <w:keepNext/>
      <w:keepLines/>
      <w:spacing w:before="80" w:after="40" w:line="259" w:lineRule="auto"/>
      <w:jc w:val="left"/>
      <w:outlineLvl w:val="4"/>
    </w:pPr>
    <w:rPr>
      <w:rFonts w:asciiTheme="minorHAnsi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78C"/>
    <w:pPr>
      <w:keepNext/>
      <w:keepLines/>
      <w:spacing w:before="40" w:after="0" w:line="259" w:lineRule="auto"/>
      <w:jc w:val="left"/>
      <w:outlineLvl w:val="5"/>
    </w:pPr>
    <w:rPr>
      <w:rFonts w:asciiTheme="minorHAnsi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78C"/>
    <w:pPr>
      <w:keepNext/>
      <w:keepLines/>
      <w:spacing w:before="40" w:after="0" w:line="259" w:lineRule="auto"/>
      <w:jc w:val="left"/>
      <w:outlineLvl w:val="6"/>
    </w:pPr>
    <w:rPr>
      <w:rFonts w:asciiTheme="minorHAnsi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78C"/>
    <w:pPr>
      <w:keepNext/>
      <w:keepLines/>
      <w:spacing w:after="0" w:line="259" w:lineRule="auto"/>
      <w:jc w:val="left"/>
      <w:outlineLvl w:val="7"/>
    </w:pPr>
    <w:rPr>
      <w:rFonts w:asciiTheme="minorHAnsi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78C"/>
    <w:pPr>
      <w:keepNext/>
      <w:keepLines/>
      <w:spacing w:after="0" w:line="259" w:lineRule="auto"/>
      <w:jc w:val="left"/>
      <w:outlineLvl w:val="8"/>
    </w:pPr>
    <w:rPr>
      <w:rFonts w:asciiTheme="minorHAnsi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7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7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78C"/>
    <w:pPr>
      <w:spacing w:after="80" w:line="240" w:lineRule="auto"/>
      <w:contextualSpacing/>
      <w:jc w:val="left"/>
    </w:pPr>
    <w:rPr>
      <w:rFonts w:asciiTheme="majorHAnsi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6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78C"/>
    <w:pPr>
      <w:numPr>
        <w:ilvl w:val="1"/>
      </w:numPr>
      <w:spacing w:after="160" w:line="259" w:lineRule="auto"/>
      <w:jc w:val="left"/>
    </w:pPr>
    <w:rPr>
      <w:rFonts w:asciiTheme="minorHAnsi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6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7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6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78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6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78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D6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78C"/>
    <w:rPr>
      <w:rFonts w:ascii="Arial" w:eastAsiaTheme="majorEastAsia" w:hAnsi="Arial" w:cs="Arial"/>
      <w:kern w:val="0"/>
      <w:sz w:val="24"/>
      <w:szCs w:val="24"/>
      <w14:ligatures w14:val="none"/>
    </w:rPr>
  </w:style>
  <w:style w:type="table" w:customStyle="1" w:styleId="Grilledutableau5">
    <w:name w:val="Grille du tableau5"/>
    <w:basedOn w:val="TableNormal"/>
    <w:next w:val="TableGrid"/>
    <w:uiPriority w:val="39"/>
    <w:rsid w:val="006D678C"/>
    <w:pPr>
      <w:spacing w:after="0" w:line="240" w:lineRule="auto"/>
    </w:pPr>
    <w:rPr>
      <w:rFonts w:ascii="Calibri" w:eastAsia="Calibri" w:hAnsi="Calibri" w:cs="Arial"/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D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</Words>
  <Characters>1074</Characters>
  <Application>Microsoft Office Word</Application>
  <DocSecurity>0</DocSecurity>
  <Lines>8</Lines>
  <Paragraphs>2</Paragraphs>
  <ScaleCrop>false</ScaleCrop>
  <Company>Springer Nature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2024-12-13T13:16:00Z</dcterms:created>
  <dcterms:modified xsi:type="dcterms:W3CDTF">2024-12-13T13:16:00Z</dcterms:modified>
</cp:coreProperties>
</file>