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D44D6">
      <w:pPr>
        <w:spacing w:after="0"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Supplementary Materials </w:t>
      </w:r>
      <w:bookmarkStart w:id="3" w:name="_GoBack"/>
      <w:bookmarkEnd w:id="3"/>
    </w:p>
    <w:p w14:paraId="67628730">
      <w:pPr>
        <w:spacing w:after="0" w:line="48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for</w:t>
      </w:r>
    </w:p>
    <w:p w14:paraId="14E77A8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Human umbilical cord mesenchymal stem cells restores mTOR-mediated autophagy homeostasis to alleviate placental injury and improve pregnancy outcomes in preeclampsia</w:t>
      </w:r>
    </w:p>
    <w:p w14:paraId="0F54A85F">
      <w:pPr>
        <w:widowControl w:val="0"/>
        <w:spacing w:after="0" w:line="240" w:lineRule="auto"/>
        <w:jc w:val="both"/>
        <w:rPr>
          <w:rFonts w:ascii="Times New Roman" w:hAnsi="Times New Roman" w:eastAsia="等线" w:cs="Times New Roman"/>
          <w:b/>
          <w:bCs/>
          <w:lang w:val="en-US"/>
          <w14:ligatures w14:val="none"/>
        </w:rPr>
      </w:pPr>
    </w:p>
    <w:p w14:paraId="3DCC0CBE">
      <w:pPr>
        <w:widowControl w:val="0"/>
        <w:spacing w:after="0" w:line="240" w:lineRule="auto"/>
        <w:jc w:val="both"/>
        <w:rPr>
          <w:rFonts w:ascii="Times New Roman" w:hAnsi="Times New Roman" w:eastAsia="宋体" w:cs="Times New Roman"/>
          <w:lang w:val="en-US"/>
          <w14:ligatures w14:val="none"/>
        </w:rPr>
      </w:pPr>
      <w:bookmarkStart w:id="0" w:name="_Hlk173750008"/>
      <w:r>
        <w:rPr>
          <w:rFonts w:ascii="Times New Roman" w:hAnsi="Times New Roman" w:eastAsia="宋体" w:cs="Times New Roman"/>
          <w:lang w:val="en-US"/>
          <w14:ligatures w14:val="none"/>
        </w:rPr>
        <w:t>Miao Xu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Huijing Ma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bookmarkEnd w:id="0"/>
      <w:r>
        <w:rPr>
          <w:rFonts w:ascii="Times New Roman" w:hAnsi="Times New Roman" w:eastAsia="宋体" w:cs="Times New Roman"/>
          <w:lang w:val="en-US"/>
          <w14:ligatures w14:val="none"/>
        </w:rPr>
        <w:t>, Yuwen Chen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2</w:t>
      </w:r>
      <w:r>
        <w:rPr>
          <w:rFonts w:ascii="Times New Roman" w:hAnsi="Times New Roman" w:eastAsia="宋体" w:cs="Times New Roman"/>
          <w:lang w:val="en-US"/>
          <w14:ligatures w14:val="none"/>
        </w:rPr>
        <w:t>, Xinhuan Zhang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Mengnan Li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Hong Yu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Jing Ji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Juanwen Li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Nan Zhang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Fang Wang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Huiniu Hao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Lu Li</w:t>
      </w:r>
      <w:r>
        <w:rPr>
          <w:rFonts w:hint="eastAsia" w:ascii="Times New Roman" w:hAnsi="Times New Roman" w:eastAsia="宋体" w:cs="Times New Roman"/>
          <w:vertAlign w:val="superscript"/>
          <w:lang w:val="en-US"/>
          <w14:ligatures w14:val="none"/>
        </w:rPr>
        <w:t>2</w:t>
      </w:r>
      <w:r>
        <w:rPr>
          <w:rFonts w:ascii="Times New Roman" w:hAnsi="Times New Roman" w:eastAsia="宋体" w:cs="Times New Roman"/>
          <w:lang w:val="en-US"/>
          <w14:ligatures w14:val="none"/>
        </w:rPr>
        <w:t xml:space="preserve">, </w:t>
      </w:r>
      <w:r>
        <w:rPr>
          <w:rFonts w:hint="eastAsia" w:ascii="Times New Roman" w:hAnsi="Times New Roman" w:eastAsia="宋体" w:cs="Times New Roman"/>
          <w:lang w:val="en-US" w:eastAsia="zh-CN"/>
          <w14:ligatures w14:val="none"/>
        </w:rPr>
        <w:t>Ruidan Zhang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hint="eastAsia" w:ascii="Times New Roman" w:hAnsi="Times New Roman" w:eastAsia="宋体" w:cs="Times New Roman"/>
          <w:lang w:val="en-US" w:eastAsia="zh-CN"/>
          <w14:ligatures w14:val="none"/>
        </w:rPr>
        <w:t>,</w:t>
      </w:r>
      <w:r>
        <w:rPr>
          <w:rFonts w:ascii="Times New Roman" w:hAnsi="Times New Roman" w:eastAsia="宋体" w:cs="Times New Roman"/>
          <w:lang w:val="en-US"/>
          <w14:ligatures w14:val="none"/>
        </w:rPr>
        <w:t>Yinmin Chen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Lijun Yang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, Zhuanghui Hao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 xml:space="preserve">, </w:t>
      </w:r>
      <w:r>
        <w:rPr>
          <w:rFonts w:hint="eastAsia" w:ascii="Times New Roman" w:hAnsi="Times New Roman" w:eastAsia="宋体" w:cs="Times New Roman"/>
          <w:lang w:val="en-US" w:eastAsia="zh-CN"/>
          <w14:ligatures w14:val="none"/>
        </w:rPr>
        <w:t>Huifang Song</w:t>
      </w:r>
      <w:r>
        <w:rPr>
          <w:rFonts w:hint="eastAsia" w:ascii="Times New Roman" w:hAnsi="Times New Roman" w:eastAsia="宋体" w:cs="Times New Roman"/>
          <w:vertAlign w:val="superscript"/>
          <w:lang w:val="en-US" w:eastAsia="zh-CN"/>
          <w14:ligatures w14:val="none"/>
        </w:rPr>
        <w:t>2</w:t>
      </w:r>
      <w:r>
        <w:rPr>
          <w:rFonts w:hint="eastAsia" w:ascii="Times New Roman" w:hAnsi="Times New Roman" w:eastAsia="宋体" w:cs="Times New Roman"/>
          <w:vertAlign w:val="baseline"/>
          <w:lang w:val="en-US" w:eastAsia="zh-CN"/>
          <w14:ligatures w14:val="none"/>
        </w:rPr>
        <w:t>,</w:t>
      </w:r>
      <w:r>
        <w:rPr>
          <w:rFonts w:ascii="Times New Roman" w:hAnsi="Times New Roman" w:eastAsia="宋体" w:cs="Times New Roman"/>
          <w:lang w:val="en-US"/>
          <w14:ligatures w14:val="none"/>
        </w:rPr>
        <w:t>Sheng He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2</w:t>
      </w:r>
      <w:r>
        <w:rPr>
          <w:rFonts w:ascii="Times New Roman" w:hAnsi="Times New Roman" w:eastAsia="宋体" w:cs="Times New Roman"/>
          <w:lang w:val="en-US"/>
          <w14:ligatures w14:val="none"/>
        </w:rPr>
        <w:t>*, Hailan Yang</w:t>
      </w: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宋体" w:cs="Times New Roman"/>
          <w:lang w:val="en-US"/>
          <w14:ligatures w14:val="none"/>
        </w:rPr>
        <w:t>*</w:t>
      </w:r>
    </w:p>
    <w:p w14:paraId="5811B2C2">
      <w:pPr>
        <w:widowControl w:val="0"/>
        <w:spacing w:after="0" w:line="480" w:lineRule="auto"/>
        <w:ind w:firstLine="480" w:firstLineChars="200"/>
        <w:jc w:val="both"/>
        <w:rPr>
          <w:rFonts w:ascii="Times New Roman" w:hAnsi="Times New Roman" w:eastAsia="宋体" w:cs="Times New Roman"/>
          <w:lang w:val="en-US"/>
          <w14:ligatures w14:val="none"/>
        </w:rPr>
      </w:pPr>
    </w:p>
    <w:p w14:paraId="3A039F3C">
      <w:pPr>
        <w:widowControl w:val="0"/>
        <w:spacing w:after="0" w:line="240" w:lineRule="auto"/>
        <w:jc w:val="both"/>
        <w:rPr>
          <w:rFonts w:ascii="Times New Roman" w:hAnsi="Times New Roman" w:eastAsia="等线" w:cs="Times New Roman"/>
          <w:lang w:val="en-US"/>
          <w14:ligatures w14:val="none"/>
        </w:rPr>
      </w:pPr>
      <w:r>
        <w:rPr>
          <w:rFonts w:ascii="Times New Roman" w:hAnsi="Times New Roman" w:eastAsia="等线" w:cs="Times New Roman"/>
          <w:kern w:val="0"/>
          <w:vertAlign w:val="superscript"/>
          <w:lang w:val="en-US"/>
          <w14:ligatures w14:val="none"/>
        </w:rPr>
        <w:t>1</w:t>
      </w:r>
      <w:r>
        <w:rPr>
          <w:rFonts w:ascii="Times New Roman" w:hAnsi="Times New Roman" w:eastAsia="等线" w:cs="Times New Roman"/>
          <w:kern w:val="0"/>
          <w:lang w:val="en-US"/>
          <w14:ligatures w14:val="none"/>
        </w:rPr>
        <w:t>T</w:t>
      </w:r>
      <w:r>
        <w:rPr>
          <w:rFonts w:hint="eastAsia" w:ascii="Times New Roman" w:hAnsi="Times New Roman" w:eastAsia="等线" w:cs="Times New Roman"/>
          <w:kern w:val="0"/>
          <w:lang w:val="en-US"/>
          <w14:ligatures w14:val="none"/>
        </w:rPr>
        <w:t>he</w:t>
      </w:r>
      <w:r>
        <w:rPr>
          <w:rFonts w:ascii="Times New Roman" w:hAnsi="Times New Roman" w:eastAsia="等线" w:cs="Times New Roman"/>
          <w:kern w:val="0"/>
          <w:lang w:val="en-US"/>
          <w14:ligatures w14:val="none"/>
        </w:rPr>
        <w:t xml:space="preserve"> First </w:t>
      </w:r>
      <w:r>
        <w:rPr>
          <w:rFonts w:ascii="Times New Roman" w:hAnsi="Times New Roman" w:eastAsia="等线" w:cs="Times New Roman"/>
          <w:kern w:val="44"/>
          <w:lang w:val="en-US"/>
          <w14:ligatures w14:val="none"/>
        </w:rPr>
        <w:t>Hospital</w:t>
      </w:r>
      <w:r>
        <w:rPr>
          <w:rFonts w:ascii="Times New Roman" w:hAnsi="Times New Roman" w:eastAsia="等线" w:cs="Times New Roman"/>
          <w:kern w:val="0"/>
          <w:lang w:val="en-US"/>
          <w14:ligatures w14:val="none"/>
        </w:rPr>
        <w:t xml:space="preserve"> of Shanxi Medical University, </w:t>
      </w:r>
      <w:bookmarkStart w:id="1" w:name="_Hlk174616577"/>
      <w:r>
        <w:rPr>
          <w:rFonts w:ascii="Times New Roman" w:hAnsi="Times New Roman" w:eastAsia="等线" w:cs="Times New Roman"/>
          <w:kern w:val="0"/>
          <w:lang w:val="en-US"/>
          <w14:ligatures w14:val="none"/>
        </w:rPr>
        <w:t xml:space="preserve">Department of Obstetrics, </w:t>
      </w:r>
      <w:r>
        <w:rPr>
          <w:rFonts w:ascii="Times New Roman" w:hAnsi="Times New Roman"/>
          <w:kern w:val="0"/>
          <w:lang w:val="en-US"/>
          <w14:ligatures w14:val="none"/>
        </w:rPr>
        <w:t xml:space="preserve">Innovative research base for mesenchymal stem cell therapy for serious complications during pregnancy, </w:t>
      </w:r>
      <w:r>
        <w:rPr>
          <w:rFonts w:ascii="Times New Roman" w:hAnsi="Times New Roman" w:eastAsia="等线" w:cs="Times New Roman"/>
          <w:kern w:val="0"/>
          <w:lang w:val="en-US"/>
          <w14:ligatures w14:val="none"/>
        </w:rPr>
        <w:t xml:space="preserve">Umbilical Cord Mesenchymal Stem Cell Research Center, </w:t>
      </w:r>
      <w:bookmarkEnd w:id="1"/>
      <w:r>
        <w:rPr>
          <w:rFonts w:ascii="Times New Roman" w:hAnsi="Times New Roman" w:eastAsia="等线" w:cs="Times New Roman"/>
          <w:lang w:val="en-US"/>
          <w14:ligatures w14:val="none"/>
        </w:rPr>
        <w:t>Shanxi Medical University, Taiyuan, China</w:t>
      </w:r>
    </w:p>
    <w:p w14:paraId="380083B5">
      <w:pPr>
        <w:widowControl w:val="0"/>
        <w:spacing w:after="0" w:line="240" w:lineRule="auto"/>
        <w:jc w:val="both"/>
        <w:rPr>
          <w:rFonts w:ascii="Times New Roman" w:hAnsi="Times New Roman" w:eastAsia="宋体" w:cs="Times New Roman"/>
          <w:vertAlign w:val="superscript"/>
          <w:lang w:val="en-US"/>
          <w14:ligatures w14:val="none"/>
        </w:rPr>
      </w:pPr>
    </w:p>
    <w:p w14:paraId="06C99877">
      <w:pPr>
        <w:widowControl w:val="0"/>
        <w:spacing w:after="0" w:line="240" w:lineRule="auto"/>
        <w:jc w:val="both"/>
        <w:rPr>
          <w:rFonts w:ascii="Times New Roman" w:hAnsi="Times New Roman" w:eastAsia="等线" w:cs="Times New Roman"/>
          <w:kern w:val="0"/>
          <w:lang w:val="en-US"/>
          <w14:ligatures w14:val="none"/>
        </w:rPr>
      </w:pPr>
      <w:r>
        <w:rPr>
          <w:rFonts w:ascii="Times New Roman" w:hAnsi="Times New Roman" w:eastAsia="宋体" w:cs="Times New Roman"/>
          <w:vertAlign w:val="superscript"/>
          <w:lang w:val="en-US"/>
          <w14:ligatures w14:val="none"/>
        </w:rPr>
        <w:t>2</w:t>
      </w:r>
      <w:r>
        <w:rPr>
          <w:rFonts w:ascii="Times New Roman" w:hAnsi="Times New Roman" w:eastAsia="等线" w:cs="Times New Roman"/>
          <w:kern w:val="44"/>
          <w:lang w:val="en-US"/>
          <w14:ligatures w14:val="none"/>
        </w:rPr>
        <w:t>The First Hospital of Shanxi Medical University</w:t>
      </w:r>
      <w:r>
        <w:rPr>
          <w:rFonts w:ascii="Times New Roman" w:hAnsi="Times New Roman" w:eastAsia="等线" w:cs="Times New Roman"/>
          <w:lang w:val="en-US"/>
          <w14:ligatures w14:val="none"/>
        </w:rPr>
        <w:t>, Department of Biochemistry and Molecular Biology, Shanxi Key Laboratory of Birth Defect and Cell Regeneration, MOE Key Laboratory of Coal Environmental Pathogenicity and Prevention,</w:t>
      </w:r>
      <w:r>
        <w:rPr>
          <w:rFonts w:hint="eastAsia" w:ascii="Times New Roman" w:hAnsi="Times New Roman" w:eastAsia="等线" w:cs="Times New Roman"/>
          <w:lang w:val="en-US"/>
          <w14:ligatures w14:val="none"/>
        </w:rPr>
        <w:t>The Transformation Pilot-Base of Shanxi Clinical Cell Therapy</w:t>
      </w:r>
      <w:r>
        <w:rPr>
          <w:rFonts w:hint="eastAsia" w:ascii="Times New Roman" w:hAnsi="Times New Roman" w:eastAsia="等线" w:cs="Times New Roman"/>
          <w:lang w:val="en-US" w:eastAsia="zh-CN"/>
          <w14:ligatures w14:val="none"/>
        </w:rPr>
        <w:t>,</w:t>
      </w:r>
      <w:r>
        <w:rPr>
          <w:rFonts w:ascii="Times New Roman" w:hAnsi="Times New Roman" w:eastAsia="等线" w:cs="Times New Roman"/>
          <w:lang w:val="en-US"/>
          <w14:ligatures w14:val="none"/>
        </w:rPr>
        <w:t xml:space="preserve"> Shanxi Medical University, Taiyuan, China</w:t>
      </w:r>
    </w:p>
    <w:p w14:paraId="0E20BABE">
      <w:pPr>
        <w:widowControl w:val="0"/>
        <w:spacing w:before="240" w:beforeLines="100" w:after="0" w:line="240" w:lineRule="auto"/>
        <w:jc w:val="both"/>
        <w:rPr>
          <w:rFonts w:ascii="Times New Roman" w:hAnsi="Times New Roman" w:eastAsia="等线" w:cs="Times New Roman"/>
          <w:b/>
          <w:lang w:val="en-US"/>
          <w14:ligatures w14:val="none"/>
        </w:rPr>
      </w:pPr>
      <w:r>
        <w:rPr>
          <w:rFonts w:ascii="Times New Roman" w:hAnsi="Times New Roman" w:eastAsia="宋体" w:cs="Times New Roman"/>
          <w:b/>
          <w:lang w:val="en-US"/>
          <w14:ligatures w14:val="none"/>
        </w:rPr>
        <w:t xml:space="preserve">*Correspondence: </w:t>
      </w:r>
    </w:p>
    <w:p w14:paraId="18A8B403">
      <w:pPr>
        <w:widowControl w:val="0"/>
        <w:spacing w:before="120" w:beforeLines="50" w:after="120" w:afterLines="50" w:line="240" w:lineRule="auto"/>
        <w:jc w:val="both"/>
        <w:rPr>
          <w:rFonts w:ascii="Times New Roman" w:hAnsi="Times New Roman" w:eastAsia="宋体" w:cs="Times New Roman"/>
          <w:lang w:val="en-US"/>
          <w14:ligatures w14:val="none"/>
        </w:rPr>
      </w:pPr>
      <w:r>
        <w:rPr>
          <w:rFonts w:ascii="Times New Roman" w:hAnsi="Times New Roman" w:eastAsia="宋体" w:cs="Times New Roman"/>
          <w:lang w:val="en-US"/>
          <w14:ligatures w14:val="none"/>
        </w:rPr>
        <w:t xml:space="preserve">Hailan Yang </w:t>
      </w:r>
    </w:p>
    <w:p w14:paraId="1B0E9848">
      <w:pPr>
        <w:widowControl w:val="0"/>
        <w:spacing w:before="120" w:beforeLines="50" w:after="120" w:afterLines="50" w:line="240" w:lineRule="auto"/>
        <w:jc w:val="both"/>
        <w:rPr>
          <w:rFonts w:ascii="Times New Roman" w:hAnsi="Times New Roman" w:eastAsia="宋体" w:cs="Times New Roman"/>
          <w:lang w:val="en-US"/>
          <w14:ligatures w14:val="none"/>
        </w:rPr>
      </w:pPr>
      <w:r>
        <w:rPr>
          <w:rFonts w:ascii="Times New Roman" w:hAnsi="Times New Roman" w:eastAsia="等线" w:cs="Times New Roman"/>
          <w:lang w:val="en-US"/>
          <w14:ligatures w14:val="none"/>
        </w:rPr>
        <w:t>yanghailan100@163.com</w:t>
      </w:r>
      <w:r>
        <w:rPr>
          <w:rFonts w:ascii="Times New Roman" w:hAnsi="Times New Roman" w:eastAsia="宋体" w:cs="Times New Roman"/>
          <w:lang w:val="en-US"/>
          <w14:ligatures w14:val="none"/>
        </w:rPr>
        <w:t xml:space="preserve"> </w:t>
      </w:r>
    </w:p>
    <w:p w14:paraId="19F4B6AF">
      <w:pPr>
        <w:widowControl w:val="0"/>
        <w:spacing w:before="120" w:beforeLines="50" w:after="120" w:afterLines="50" w:line="240" w:lineRule="auto"/>
        <w:jc w:val="both"/>
        <w:rPr>
          <w:rFonts w:ascii="Times New Roman" w:hAnsi="Times New Roman" w:eastAsia="宋体" w:cs="Times New Roman"/>
          <w:lang w:val="en-US"/>
          <w14:ligatures w14:val="none"/>
        </w:rPr>
      </w:pPr>
    </w:p>
    <w:p w14:paraId="5C1117B6">
      <w:pPr>
        <w:widowControl w:val="0"/>
        <w:spacing w:before="120" w:beforeLines="50" w:after="120" w:afterLines="50" w:line="240" w:lineRule="auto"/>
        <w:jc w:val="both"/>
        <w:rPr>
          <w:rFonts w:ascii="Times New Roman" w:hAnsi="Times New Roman" w:eastAsia="宋体" w:cs="Times New Roman"/>
          <w:lang w:val="en-US"/>
          <w14:ligatures w14:val="none"/>
        </w:rPr>
      </w:pPr>
      <w:r>
        <w:rPr>
          <w:rFonts w:ascii="Times New Roman" w:hAnsi="Times New Roman" w:eastAsia="宋体" w:cs="Times New Roman"/>
          <w:lang w:val="en-US"/>
          <w14:ligatures w14:val="none"/>
        </w:rPr>
        <w:t xml:space="preserve">Sheng He </w:t>
      </w:r>
    </w:p>
    <w:p w14:paraId="16C78D8B">
      <w:pPr>
        <w:widowControl w:val="0"/>
        <w:spacing w:after="0" w:line="240" w:lineRule="auto"/>
        <w:jc w:val="both"/>
        <w:rPr>
          <w:rFonts w:ascii="Times New Roman" w:hAnsi="Times New Roman" w:eastAsia="等线" w:cs="Times New Roman"/>
          <w:lang w:val="en-US"/>
          <w14:ligatures w14:val="none"/>
        </w:rPr>
      </w:pPr>
      <w:r>
        <w:rPr>
          <w:rFonts w:ascii="Times New Roman" w:hAnsi="Times New Roman" w:eastAsia="等线" w:cs="Times New Roman"/>
          <w:lang w:val="en-US"/>
          <w14:ligatures w14:val="none"/>
        </w:rPr>
        <w:t>hesheng@sxmu.edu.cn</w:t>
      </w:r>
    </w:p>
    <w:p w14:paraId="008DBA9B">
      <w:pPr>
        <w:rPr>
          <w:rFonts w:ascii="Times New Roman" w:hAnsi="Times New Roman" w:cs="Times New Roman"/>
          <w:lang w:val="en-US"/>
        </w:rPr>
      </w:pPr>
    </w:p>
    <w:p w14:paraId="029EACFC">
      <w:pPr>
        <w:rPr>
          <w:rFonts w:ascii="Times New Roman" w:hAnsi="Times New Roman" w:cs="Times New Roman"/>
        </w:rPr>
      </w:pPr>
    </w:p>
    <w:p w14:paraId="2A3F8B5C">
      <w:pPr>
        <w:rPr>
          <w:rFonts w:ascii="Times New Roman" w:hAnsi="Times New Roman" w:cs="Times New Roman"/>
        </w:rPr>
      </w:pPr>
    </w:p>
    <w:p w14:paraId="2D772FB1">
      <w:pPr>
        <w:rPr>
          <w:rFonts w:ascii="Times New Roman" w:hAnsi="Times New Roman" w:cs="Times New Roman"/>
        </w:rPr>
      </w:pPr>
    </w:p>
    <w:p w14:paraId="64F06632">
      <w:pPr>
        <w:rPr>
          <w:rFonts w:ascii="Times New Roman" w:hAnsi="Times New Roman" w:cs="Times New Roman"/>
          <w:caps/>
        </w:rPr>
      </w:pPr>
    </w:p>
    <w:p w14:paraId="3898F2B1">
      <w:pPr>
        <w:rPr>
          <w:rFonts w:ascii="Times New Roman" w:hAnsi="Times New Roman" w:cs="Times New Roman"/>
          <w:caps/>
        </w:rPr>
      </w:pPr>
    </w:p>
    <w:p w14:paraId="3AAD89C0">
      <w:pPr>
        <w:rPr>
          <w:rFonts w:ascii="Times New Roman" w:hAnsi="Times New Roman" w:cs="Times New Roman"/>
          <w:caps/>
        </w:rPr>
      </w:pPr>
    </w:p>
    <w:p w14:paraId="0B8A25D4">
      <w:pPr>
        <w:rPr>
          <w:rFonts w:ascii="Times New Roman" w:hAnsi="Times New Roman" w:cs="Times New Roman"/>
          <w:caps/>
        </w:rPr>
      </w:pPr>
    </w:p>
    <w:p w14:paraId="46185998">
      <w:pPr>
        <w:rPr>
          <w:rFonts w:ascii="Times New Roman" w:hAnsi="Times New Roman" w:cs="Times New Roman"/>
          <w:caps/>
        </w:rPr>
      </w:pPr>
    </w:p>
    <w:p w14:paraId="2B4EE866">
      <w:pPr>
        <w:rPr>
          <w:rFonts w:ascii="Times New Roman" w:hAnsi="Times New Roman" w:cs="Times New Roman"/>
          <w:caps/>
        </w:rPr>
      </w:pPr>
    </w:p>
    <w:p w14:paraId="3BC8597B">
      <w:pPr>
        <w:rPr>
          <w:rFonts w:ascii="Times New Roman" w:hAnsi="Times New Roman" w:cs="Times New Roman"/>
          <w:caps/>
        </w:rPr>
      </w:pPr>
    </w:p>
    <w:p w14:paraId="5A50B970">
      <w:pPr>
        <w:rPr>
          <w:rFonts w:ascii="Times New Roman" w:hAnsi="Times New Roman" w:cs="Times New Roman"/>
          <w:caps/>
        </w:rPr>
      </w:pPr>
    </w:p>
    <w:p w14:paraId="4E9DC93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aps/>
        </w:rPr>
        <w:t>S</w:t>
      </w:r>
      <w:r>
        <w:rPr>
          <w:rFonts w:ascii="Times New Roman" w:hAnsi="Times New Roman" w:cs="Times New Roman"/>
          <w:b/>
          <w:bCs/>
        </w:rPr>
        <w:t>upplemental figures</w:t>
      </w:r>
    </w:p>
    <w:p w14:paraId="73F3A956">
      <w:pPr>
        <w:rPr>
          <w:rFonts w:hint="eastAsia" w:ascii="Times New Roman" w:hAnsi="Times New Roman" w:cs="Times New Roman" w:eastAsiaTheme="minorEastAsia"/>
          <w:b/>
          <w:bCs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lang w:eastAsia="zh-CN"/>
        </w:rPr>
        <w:drawing>
          <wp:inline distT="0" distB="0" distL="114300" distR="114300">
            <wp:extent cx="6415405" cy="3420110"/>
            <wp:effectExtent l="0" t="0" r="635" b="127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7"/>
                    <a:srcRect t="12322" b="16595"/>
                    <a:stretch>
                      <a:fillRect/>
                    </a:stretch>
                  </pic:blipFill>
                  <pic:spPr>
                    <a:xfrm>
                      <a:off x="0" y="0"/>
                      <a:ext cx="6415405" cy="342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2346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  <w:t xml:space="preserve">Fig. S1. </w:t>
      </w: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cs="Times New Roman"/>
        </w:rPr>
        <w:t xml:space="preserve">A) Flow cytometry histograms showing that human umbilical cord mesenchymal stem cells (hUC-MSCs) were positive for mesenchymal cell markers CD90, CD44, CD105, and CD73, and (B) negative for </w:t>
      </w:r>
      <w:bookmarkStart w:id="2" w:name="_Hlk174872144"/>
      <w:r>
        <w:rPr>
          <w:rFonts w:ascii="Times New Roman" w:hAnsi="Times New Roman" w:cs="Times New Roman"/>
        </w:rPr>
        <w:t>hematopoietic stem cell lineage markers HLA-DR, CD45, CD19, and CD11b.</w:t>
      </w:r>
      <w:bookmarkEnd w:id="2"/>
      <w:r>
        <w:rPr>
          <w:rFonts w:ascii="Times New Roman" w:hAnsi="Times New Roman" w:cs="Times New Roman"/>
        </w:rPr>
        <w:t xml:space="preserve"> hUC-MSCs were able to differentiate into (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adipogenic (Oil Red O), </w:t>
      </w:r>
      <w:r>
        <w:rPr>
          <w:rFonts w:ascii="Times New Roman" w:hAnsi="Times New Roman" w:cs="Times New Roman"/>
          <w:b/>
        </w:rPr>
        <w:t>(D</w:t>
      </w:r>
      <w:r>
        <w:rPr>
          <w:rFonts w:ascii="Times New Roman" w:hAnsi="Times New Roman" w:cs="Times New Roman"/>
          <w:bCs/>
        </w:rPr>
        <w:t>) osteogenic</w:t>
      </w:r>
      <w:r>
        <w:rPr>
          <w:rFonts w:ascii="Times New Roman" w:hAnsi="Times New Roman" w:cs="Times New Roman"/>
        </w:rPr>
        <w:t xml:space="preserve"> (Alizarin Red S), and (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chondrogenic lineages (Alcian Blue).</w:t>
      </w:r>
    </w:p>
    <w:p w14:paraId="7C65D8A2">
      <w:pPr>
        <w:rPr>
          <w:rFonts w:ascii="Times New Roman" w:hAnsi="Times New Roman" w:cs="Times New Roman"/>
        </w:rPr>
      </w:pPr>
    </w:p>
    <w:p w14:paraId="029E2457">
      <w:pPr>
        <w:rPr>
          <w:rFonts w:ascii="Times New Roman" w:hAnsi="Times New Roman" w:cs="Times New Roman"/>
        </w:rPr>
      </w:pPr>
    </w:p>
    <w:p w14:paraId="6F69CD7C">
      <w:pPr>
        <w:rPr>
          <w:rFonts w:ascii="Times New Roman" w:hAnsi="Times New Roman" w:cs="Times New Roman"/>
        </w:rPr>
      </w:pPr>
    </w:p>
    <w:p w14:paraId="2A9496FA">
      <w:pPr>
        <w:rPr>
          <w:rFonts w:ascii="Times New Roman" w:hAnsi="Times New Roman" w:cs="Times New Roman"/>
        </w:rPr>
      </w:pPr>
    </w:p>
    <w:p w14:paraId="7BAD097E">
      <w:pPr>
        <w:rPr>
          <w:rFonts w:ascii="Times New Roman" w:hAnsi="Times New Roman" w:cs="Times New Roman"/>
        </w:rPr>
      </w:pPr>
    </w:p>
    <w:p w14:paraId="401BD442">
      <w:pPr>
        <w:rPr>
          <w:rFonts w:ascii="Times New Roman" w:hAnsi="Times New Roman" w:cs="Times New Roman"/>
        </w:rPr>
      </w:pPr>
    </w:p>
    <w:p w14:paraId="5F9263D4">
      <w:pPr>
        <w:rPr>
          <w:rFonts w:ascii="Times New Roman" w:hAnsi="Times New Roman" w:cs="Times New Roman"/>
        </w:rPr>
      </w:pPr>
    </w:p>
    <w:p w14:paraId="17BD779E">
      <w:pPr>
        <w:rPr>
          <w:rFonts w:ascii="Times New Roman" w:hAnsi="Times New Roman" w:cs="Times New Roman"/>
        </w:rPr>
      </w:pPr>
    </w:p>
    <w:p w14:paraId="7893FEC7">
      <w:pPr>
        <w:rPr>
          <w:rFonts w:ascii="Times New Roman" w:hAnsi="Times New Roman" w:cs="Times New Roman"/>
        </w:rPr>
      </w:pPr>
    </w:p>
    <w:p w14:paraId="4D77AFC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14:ligatures w14:val="none"/>
        </w:rPr>
        <w:drawing>
          <wp:inline distT="0" distB="0" distL="0" distR="0">
            <wp:extent cx="5800725" cy="3251200"/>
            <wp:effectExtent l="0" t="0" r="0" b="0"/>
            <wp:docPr id="1177782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782115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6534" cy="32543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8233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S2.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Fetal survival numbers and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lengths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among pregnant saline-injected control (Ctrl), N-nitro-L-arginine methyl ester (L-NAME)-injected (L-NAME), </w:t>
      </w:r>
      <w:r>
        <w:rPr>
          <w:rFonts w:ascii="Times New Roman" w:hAnsi="Times New Roman" w:eastAsia="等线" w:cs="Times New Roman"/>
        </w:rPr>
        <w:t xml:space="preserve">and L-NAME with hUC-MSC (L-NAME+MSC)-injected pregnant rats. </w:t>
      </w:r>
      <w:r>
        <w:rPr>
          <w:rFonts w:ascii="Times New Roman" w:hAnsi="Times New Roman" w:eastAsia="等线" w:cs="Times New Roman"/>
          <w:bCs/>
        </w:rPr>
        <w:t>Data are shown as mean</w:t>
      </w:r>
      <w:r>
        <w:rPr>
          <w:rFonts w:ascii="Times New Roman" w:hAnsi="Times New Roman" w:eastAsia="等线" w:cs="Times New Roman"/>
        </w:rPr>
        <w:t xml:space="preserve">±SEM. </w:t>
      </w:r>
      <w:r>
        <w:rPr>
          <w:rFonts w:ascii="Times New Roman" w:hAnsi="Times New Roman" w:cs="Times New Roman"/>
        </w:rPr>
        <w:t>n=10/group.</w:t>
      </w:r>
      <w:r>
        <w:rPr>
          <w:rFonts w:ascii="Times New Roman" w:hAnsi="Times New Roman" w:eastAsia="等线" w:cs="Times New Roman"/>
        </w:rPr>
        <w:t xml:space="preserve"> ***P&lt;0.001.</w:t>
      </w:r>
    </w:p>
    <w:p w14:paraId="367D6538">
      <w:pPr>
        <w:rPr>
          <w:rFonts w:ascii="Times New Roman" w:hAnsi="Times New Roman" w:cs="Times New Roman"/>
          <w:b/>
          <w:bCs/>
        </w:rPr>
      </w:pPr>
    </w:p>
    <w:p w14:paraId="4EA8DF65">
      <w:pPr>
        <w:rPr>
          <w:rFonts w:ascii="Times New Roman" w:hAnsi="Times New Roman" w:cs="Times New Roman"/>
          <w:b/>
          <w:bCs/>
        </w:rPr>
      </w:pPr>
    </w:p>
    <w:p w14:paraId="6BD9B6FB">
      <w:pPr>
        <w:rPr>
          <w:rFonts w:ascii="Times New Roman" w:hAnsi="Times New Roman" w:cs="Times New Roman"/>
          <w:b/>
          <w:bCs/>
        </w:rPr>
      </w:pPr>
    </w:p>
    <w:p w14:paraId="319C47FD">
      <w:pPr>
        <w:rPr>
          <w:rFonts w:ascii="Times New Roman" w:hAnsi="Times New Roman" w:cs="Times New Roman"/>
          <w:b/>
          <w:bCs/>
        </w:rPr>
      </w:pPr>
    </w:p>
    <w:p w14:paraId="50976559">
      <w:pPr>
        <w:rPr>
          <w:rFonts w:ascii="Times New Roman" w:hAnsi="Times New Roman" w:cs="Times New Roman"/>
          <w:b/>
          <w:bCs/>
        </w:rPr>
      </w:pPr>
    </w:p>
    <w:p w14:paraId="3D5A0FD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14:ligatures w14:val="none"/>
        </w:rPr>
        <w:drawing>
          <wp:inline distT="0" distB="0" distL="0" distR="0">
            <wp:extent cx="5928360" cy="4074160"/>
            <wp:effectExtent l="0" t="0" r="0" b="2540"/>
            <wp:docPr id="1365275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27597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202" cy="40846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1FEA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S3. </w:t>
      </w:r>
      <w:r>
        <w:rPr>
          <w:rFonts w:ascii="Times New Roman" w:hAnsi="Times New Roman" w:cs="Times New Roman"/>
        </w:rPr>
        <w:t xml:space="preserve">Full-length blots for Fig. 3D. </w:t>
      </w:r>
    </w:p>
    <w:p w14:paraId="57D15A2D">
      <w:pPr>
        <w:rPr>
          <w:rFonts w:ascii="Times New Roman" w:hAnsi="Times New Roman" w:cs="Times New Roman"/>
          <w:b/>
          <w:bCs/>
        </w:rPr>
      </w:pPr>
    </w:p>
    <w:p w14:paraId="05FDBDCC">
      <w:pPr>
        <w:rPr>
          <w:rFonts w:ascii="Times New Roman" w:hAnsi="Times New Roman" w:cs="Times New Roman"/>
          <w:b/>
          <w:bCs/>
        </w:rPr>
      </w:pPr>
    </w:p>
    <w:p w14:paraId="73C46C2D">
      <w:pPr>
        <w:rPr>
          <w:rFonts w:ascii="Times New Roman" w:hAnsi="Times New Roman" w:cs="Times New Roman"/>
          <w:b/>
          <w:bCs/>
        </w:rPr>
      </w:pPr>
    </w:p>
    <w:p w14:paraId="5AE45713">
      <w:pPr>
        <w:rPr>
          <w:rFonts w:ascii="Times New Roman" w:hAnsi="Times New Roman" w:cs="Times New Roman"/>
          <w:b/>
          <w:bCs/>
        </w:rPr>
      </w:pPr>
    </w:p>
    <w:p w14:paraId="1FFFD5DC">
      <w:pPr>
        <w:rPr>
          <w:rFonts w:ascii="Times New Roman" w:hAnsi="Times New Roman" w:cs="Times New Roman"/>
          <w:b/>
          <w:bCs/>
        </w:rPr>
      </w:pPr>
    </w:p>
    <w:p w14:paraId="300BB602">
      <w:pPr>
        <w:rPr>
          <w:rFonts w:ascii="Times New Roman" w:hAnsi="Times New Roman" w:cs="Times New Roman"/>
          <w:b/>
          <w:bCs/>
        </w:rPr>
      </w:pPr>
    </w:p>
    <w:p w14:paraId="0A066CE5">
      <w:pPr>
        <w:rPr>
          <w:rFonts w:ascii="Times New Roman" w:hAnsi="Times New Roman" w:cs="Times New Roman"/>
          <w:b/>
          <w:bCs/>
        </w:rPr>
      </w:pPr>
    </w:p>
    <w:p w14:paraId="28F276C4">
      <w:pPr>
        <w:rPr>
          <w:rFonts w:ascii="Times New Roman" w:hAnsi="Times New Roman" w:cs="Times New Roman"/>
          <w:b/>
          <w:bCs/>
        </w:rPr>
      </w:pPr>
    </w:p>
    <w:p w14:paraId="6CAE9151">
      <w:pPr>
        <w:rPr>
          <w:rFonts w:ascii="Times New Roman" w:hAnsi="Times New Roman" w:cs="Times New Roman"/>
          <w:b/>
          <w:bCs/>
        </w:rPr>
      </w:pPr>
    </w:p>
    <w:p w14:paraId="106AE6B5">
      <w:pPr>
        <w:rPr>
          <w:rFonts w:ascii="Times New Roman" w:hAnsi="Times New Roman" w:cs="Times New Roman"/>
          <w:b/>
          <w:bCs/>
        </w:rPr>
      </w:pPr>
    </w:p>
    <w:p w14:paraId="4E45351C">
      <w:pPr>
        <w:rPr>
          <w:rFonts w:ascii="Times New Roman" w:hAnsi="Times New Roman" w:cs="Times New Roman"/>
          <w:b/>
          <w:bCs/>
        </w:rPr>
      </w:pPr>
    </w:p>
    <w:p w14:paraId="11B76429">
      <w:pPr>
        <w:rPr>
          <w:rFonts w:ascii="Times New Roman" w:hAnsi="Times New Roman" w:cs="Times New Roman"/>
          <w:b/>
          <w:bCs/>
        </w:rPr>
      </w:pPr>
    </w:p>
    <w:p w14:paraId="25371CC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14:ligatures w14:val="none"/>
        </w:rPr>
        <w:drawing>
          <wp:inline distT="0" distB="0" distL="0" distR="0">
            <wp:extent cx="6257925" cy="4784090"/>
            <wp:effectExtent l="0" t="0" r="0" b="0"/>
            <wp:docPr id="15243416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341696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4557" cy="47970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899B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S4. </w:t>
      </w:r>
      <w:r>
        <w:rPr>
          <w:rFonts w:ascii="Times New Roman" w:hAnsi="Times New Roman" w:cs="Times New Roman"/>
        </w:rPr>
        <w:t xml:space="preserve">Full-length blots for Fig. 6D. </w:t>
      </w:r>
    </w:p>
    <w:p w14:paraId="1474C4E8">
      <w:pPr>
        <w:rPr>
          <w:rFonts w:ascii="Times New Roman" w:hAnsi="Times New Roman" w:cs="Times New Roman"/>
          <w:b/>
          <w:bCs/>
        </w:rPr>
      </w:pPr>
    </w:p>
    <w:p w14:paraId="061DF28B">
      <w:pPr>
        <w:rPr>
          <w:rFonts w:ascii="Times New Roman" w:hAnsi="Times New Roman" w:cs="Times New Roman"/>
          <w:b/>
          <w:bCs/>
        </w:rPr>
      </w:pPr>
    </w:p>
    <w:p w14:paraId="6646DE42">
      <w:pPr>
        <w:rPr>
          <w:rFonts w:ascii="Times New Roman" w:hAnsi="Times New Roman" w:cs="Times New Roman"/>
          <w:b/>
          <w:bCs/>
        </w:rPr>
      </w:pPr>
    </w:p>
    <w:p w14:paraId="173A55BE">
      <w:pPr>
        <w:rPr>
          <w:rFonts w:ascii="Times New Roman" w:hAnsi="Times New Roman" w:cs="Times New Roman"/>
          <w:b/>
          <w:bCs/>
        </w:rPr>
      </w:pPr>
    </w:p>
    <w:p w14:paraId="504FC078">
      <w:pPr>
        <w:rPr>
          <w:rFonts w:ascii="Times New Roman" w:hAnsi="Times New Roman" w:cs="Times New Roman"/>
          <w:b/>
          <w:bCs/>
        </w:rPr>
      </w:pPr>
    </w:p>
    <w:p w14:paraId="3B0155D4">
      <w:pPr>
        <w:rPr>
          <w:rFonts w:ascii="Times New Roman" w:hAnsi="Times New Roman" w:cs="Times New Roman"/>
          <w:b/>
          <w:bCs/>
        </w:rPr>
      </w:pPr>
    </w:p>
    <w:p w14:paraId="55365FA2">
      <w:pPr>
        <w:rPr>
          <w:rFonts w:ascii="Times New Roman" w:hAnsi="Times New Roman" w:cs="Times New Roman"/>
          <w:b/>
          <w:bCs/>
        </w:rPr>
      </w:pPr>
    </w:p>
    <w:p w14:paraId="6A25CD37">
      <w:pPr>
        <w:rPr>
          <w:rFonts w:ascii="Times New Roman" w:hAnsi="Times New Roman" w:cs="Times New Roman"/>
          <w:b/>
          <w:bCs/>
        </w:rPr>
      </w:pPr>
    </w:p>
    <w:p w14:paraId="4BBE7AFB">
      <w:pPr>
        <w:rPr>
          <w:rFonts w:ascii="Times New Roman" w:hAnsi="Times New Roman" w:cs="Times New Roman"/>
          <w:b/>
          <w:bCs/>
        </w:rPr>
      </w:pPr>
    </w:p>
    <w:p w14:paraId="16CCB274">
      <w:pPr>
        <w:rPr>
          <w:rFonts w:ascii="Times New Roman" w:hAnsi="Times New Roman" w:cs="Times New Roman"/>
          <w:b/>
          <w:bCs/>
        </w:rPr>
      </w:pPr>
    </w:p>
    <w:p w14:paraId="5694D22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14:ligatures w14:val="none"/>
        </w:rPr>
        <w:drawing>
          <wp:inline distT="0" distB="0" distL="0" distR="0">
            <wp:extent cx="6165850" cy="4754880"/>
            <wp:effectExtent l="0" t="0" r="6350" b="7620"/>
            <wp:docPr id="182215250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52504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4239" cy="47695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92F6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Fig. S5. </w:t>
      </w:r>
      <w:r>
        <w:rPr>
          <w:rFonts w:ascii="Times New Roman" w:hAnsi="Times New Roman" w:cs="Times New Roman"/>
        </w:rPr>
        <w:t xml:space="preserve">Full-length blots for Fig. 6I. </w:t>
      </w:r>
    </w:p>
    <w:p w14:paraId="5B7D450A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66038F66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1060CF5C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2A33C366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746B41C3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52DD8373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46063636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6A635479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1A67277D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1BAAEBA8">
      <w:pPr>
        <w:jc w:val="center"/>
        <w:rPr>
          <w:rFonts w:ascii="Times New Roman" w:hAnsi="Times New Roman" w:cs="Times New Roman"/>
          <w:caps/>
          <w:vertAlign w:val="superscript"/>
        </w:rPr>
      </w:pPr>
    </w:p>
    <w:p w14:paraId="764521B6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aps/>
        </w:rPr>
        <w:t>S</w:t>
      </w:r>
      <w:r>
        <w:rPr>
          <w:rFonts w:ascii="Times New Roman" w:hAnsi="Times New Roman" w:cs="Times New Roman"/>
          <w:b/>
          <w:bCs/>
        </w:rPr>
        <w:t>upplementary table</w:t>
      </w:r>
    </w:p>
    <w:p w14:paraId="4B9254D7">
      <w:pPr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S1. </w:t>
      </w:r>
      <w:r>
        <w:rPr>
          <w:rFonts w:ascii="Times New Roman" w:hAnsi="Times New Roman" w:cs="Times New Roman"/>
        </w:rPr>
        <w:t>Primers used for Real-time RT-qPCR</w:t>
      </w:r>
    </w:p>
    <w:tbl>
      <w:tblPr>
        <w:tblStyle w:val="19"/>
        <w:tblW w:w="9394" w:type="dxa"/>
        <w:tblInd w:w="-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3972"/>
        <w:gridCol w:w="4252"/>
      </w:tblGrid>
      <w:tr w14:paraId="4EDF2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47CD9B90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Gene</w:t>
            </w:r>
          </w:p>
        </w:tc>
        <w:tc>
          <w:tcPr>
            <w:tcW w:w="397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6621F7AE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Forward primer sequence</w:t>
            </w:r>
          </w:p>
        </w:tc>
        <w:tc>
          <w:tcPr>
            <w:tcW w:w="4252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 w14:paraId="4027B889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Reverse primer sequence</w:t>
            </w:r>
          </w:p>
        </w:tc>
      </w:tr>
      <w:tr w14:paraId="01B7E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07ECD">
            <w:pPr>
              <w:widowControl w:val="0"/>
              <w:spacing w:before="120" w:beforeLines="50"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A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CTB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3482C">
            <w:pPr>
              <w:widowControl w:val="0"/>
              <w:spacing w:before="120" w:beforeLines="50"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ACAGGATGCAGAAGGAGATTAC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4A702">
            <w:pPr>
              <w:widowControl w:val="0"/>
              <w:spacing w:before="120" w:beforeLines="50"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ACAGTGAGGCCAGGATAGA</w:t>
            </w:r>
          </w:p>
        </w:tc>
      </w:tr>
      <w:tr w14:paraId="0C9A6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9112C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B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eclin1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4486E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CAGGAACTCACAGCTCCATTAC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B939A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CCATCCTGGCGAGTTTCAATA</w:t>
            </w:r>
          </w:p>
        </w:tc>
      </w:tr>
      <w:tr w14:paraId="5A119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D1F0F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L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C3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0D724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TTATAGAGCGATACAAGGGGGAG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A5F2A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CGCCGTCTGATTATCTTGATGAG</w:t>
            </w:r>
          </w:p>
        </w:tc>
      </w:tr>
      <w:tr w14:paraId="36891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AFBB4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P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62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F3397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CTAGGCATCGAGGTTGACATT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AF3D5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CTTGGCTGAGTACCACTCTTATC</w:t>
            </w:r>
          </w:p>
        </w:tc>
      </w:tr>
      <w:tr w14:paraId="7F8D2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483D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m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TOR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F14A3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CAAGGCTTCTTCCGTTCTATCT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7A0B6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ATCTGGCCAGTGACCATAATC</w:t>
            </w:r>
          </w:p>
        </w:tc>
      </w:tr>
      <w:tr w14:paraId="2BD25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BAD27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A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MPK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4F7B1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CGGGATCCATCAGCAACTATC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F1E83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AGGTCACGGATGAGGTAAGA</w:t>
            </w:r>
          </w:p>
        </w:tc>
      </w:tr>
      <w:tr w14:paraId="770207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0B0EE8E7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lang w:val="en-US"/>
                <w14:ligatures w14:val="none"/>
              </w:rPr>
              <w:t>A</w:t>
            </w: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kt</w:t>
            </w:r>
          </w:p>
        </w:tc>
        <w:tc>
          <w:tcPr>
            <w:tcW w:w="397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98DC685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ACGACGTAGCCATTGTCAAG</w:t>
            </w:r>
          </w:p>
        </w:tc>
        <w:tc>
          <w:tcPr>
            <w:tcW w:w="425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5F05A7C5">
            <w:pPr>
              <w:widowControl w:val="0"/>
              <w:spacing w:after="0" w:line="240" w:lineRule="auto"/>
              <w:contextualSpacing/>
              <w:rPr>
                <w:rFonts w:ascii="Times New Roman" w:hAnsi="Times New Roman" w:eastAsia="宋体" w:cs="Times New Roman"/>
                <w:lang w:val="en-US"/>
                <w14:ligatures w14:val="none"/>
              </w:rPr>
            </w:pPr>
            <w:r>
              <w:rPr>
                <w:rFonts w:ascii="Times New Roman" w:hAnsi="Times New Roman" w:eastAsia="宋体" w:cs="Times New Roman"/>
                <w:lang w:val="en-US"/>
                <w14:ligatures w14:val="none"/>
              </w:rPr>
              <w:t>GCCGTTCCTTGTAGCCAATA</w:t>
            </w:r>
          </w:p>
        </w:tc>
      </w:tr>
    </w:tbl>
    <w:p w14:paraId="0C12E2C5">
      <w:pPr>
        <w:spacing w:line="240" w:lineRule="auto"/>
        <w:rPr>
          <w:rFonts w:ascii="Times New Roman" w:hAnsi="Times New Roman" w:cs="Times New Roman"/>
          <w:b/>
          <w:bCs/>
        </w:rPr>
      </w:pPr>
    </w:p>
    <w:sectPr>
      <w:footerReference r:id="rId5" w:type="default"/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ptos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80634851"/>
      <w:docPartObj>
        <w:docPartGallery w:val="autotext"/>
      </w:docPartObj>
    </w:sdtPr>
    <w:sdtContent>
      <w:p w14:paraId="5B8C0979">
        <w:pPr>
          <w:pStyle w:val="1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59AB06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5OGNjZmMxMWFjMWZkZjc4YzRiNGRlNmExZjZlMzIifQ=="/>
    <w:docVar w:name="KY_MEDREF_DOCUID" w:val="{CD706075-650C-40D2-B049-CD337CFE07AE}"/>
    <w:docVar w:name="KY_MEDREF_VERSION" w:val="3"/>
  </w:docVars>
  <w:rsids>
    <w:rsidRoot w:val="00BC3079"/>
    <w:rsid w:val="0001060C"/>
    <w:rsid w:val="00025CC0"/>
    <w:rsid w:val="000671D8"/>
    <w:rsid w:val="000801D3"/>
    <w:rsid w:val="0012477C"/>
    <w:rsid w:val="0016317A"/>
    <w:rsid w:val="00227B36"/>
    <w:rsid w:val="00271051"/>
    <w:rsid w:val="00292E51"/>
    <w:rsid w:val="002B6785"/>
    <w:rsid w:val="0030797E"/>
    <w:rsid w:val="00341722"/>
    <w:rsid w:val="00381575"/>
    <w:rsid w:val="003F5285"/>
    <w:rsid w:val="004166C2"/>
    <w:rsid w:val="00477D70"/>
    <w:rsid w:val="00482A72"/>
    <w:rsid w:val="00494F1D"/>
    <w:rsid w:val="005A3C94"/>
    <w:rsid w:val="006433ED"/>
    <w:rsid w:val="006638F1"/>
    <w:rsid w:val="00663B99"/>
    <w:rsid w:val="006D6C80"/>
    <w:rsid w:val="006E09EF"/>
    <w:rsid w:val="0070183D"/>
    <w:rsid w:val="007668F0"/>
    <w:rsid w:val="00887718"/>
    <w:rsid w:val="00894026"/>
    <w:rsid w:val="008C4AD6"/>
    <w:rsid w:val="00916EEB"/>
    <w:rsid w:val="0093690A"/>
    <w:rsid w:val="00964424"/>
    <w:rsid w:val="009C0B2A"/>
    <w:rsid w:val="009E31A4"/>
    <w:rsid w:val="00AA2E3D"/>
    <w:rsid w:val="00BC3079"/>
    <w:rsid w:val="00C06371"/>
    <w:rsid w:val="00D17CCE"/>
    <w:rsid w:val="00D260C3"/>
    <w:rsid w:val="00DA001B"/>
    <w:rsid w:val="00DA06DD"/>
    <w:rsid w:val="00DC1D26"/>
    <w:rsid w:val="00E327DC"/>
    <w:rsid w:val="00E47A6F"/>
    <w:rsid w:val="00EB489F"/>
    <w:rsid w:val="00EE278C"/>
    <w:rsid w:val="00F17614"/>
    <w:rsid w:val="00F615CE"/>
    <w:rsid w:val="00FB70B2"/>
    <w:rsid w:val="00FD702B"/>
    <w:rsid w:val="00FE00E5"/>
    <w:rsid w:val="00FE3122"/>
    <w:rsid w:val="05750386"/>
    <w:rsid w:val="2F4B34CE"/>
    <w:rsid w:val="30D56BA5"/>
    <w:rsid w:val="3C0D63B1"/>
    <w:rsid w:val="413C77DB"/>
    <w:rsid w:val="6BF6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en-CA" w:eastAsia="zh-CN" w:bidi="ar-SA"/>
      <w14:ligatures w14:val="standardContextual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24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25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20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41"/>
    <w:unhideWhenUsed/>
    <w:uiPriority w:val="99"/>
    <w:pPr>
      <w:spacing w:line="240" w:lineRule="auto"/>
    </w:pPr>
    <w:rPr>
      <w:sz w:val="20"/>
      <w:szCs w:val="20"/>
    </w:rPr>
  </w:style>
  <w:style w:type="paragraph" w:styleId="12">
    <w:name w:val="Balloon Text"/>
    <w:basedOn w:val="1"/>
    <w:link w:val="44"/>
    <w:semiHidden/>
    <w:unhideWhenUsed/>
    <w:uiPriority w:val="99"/>
    <w:pPr>
      <w:spacing w:after="0" w:line="240" w:lineRule="auto"/>
    </w:pPr>
    <w:rPr>
      <w:sz w:val="18"/>
      <w:szCs w:val="18"/>
    </w:rPr>
  </w:style>
  <w:style w:type="paragraph" w:styleId="13">
    <w:name w:val="footer"/>
    <w:basedOn w:val="1"/>
    <w:link w:val="4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4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6">
    <w:name w:val="Title"/>
    <w:basedOn w:val="1"/>
    <w:next w:val="1"/>
    <w:link w:val="32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17">
    <w:name w:val="annotation subject"/>
    <w:basedOn w:val="11"/>
    <w:next w:val="11"/>
    <w:link w:val="42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rPr>
      <w:kern w:val="2"/>
      <w:sz w:val="21"/>
      <w:szCs w:val="2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Hyperlink"/>
    <w:basedOn w:val="20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20"/>
    <w:semiHidden/>
    <w:unhideWhenUsed/>
    <w:qFormat/>
    <w:uiPriority w:val="99"/>
    <w:rPr>
      <w:sz w:val="16"/>
      <w:szCs w:val="16"/>
    </w:rPr>
  </w:style>
  <w:style w:type="character" w:customStyle="1" w:styleId="23">
    <w:name w:val="Heading 1 Char"/>
    <w:basedOn w:val="20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4">
    <w:name w:val="Heading 2 Char"/>
    <w:basedOn w:val="20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5">
    <w:name w:val="Heading 3 Char"/>
    <w:basedOn w:val="20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6">
    <w:name w:val="Heading 4 Char"/>
    <w:basedOn w:val="20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7">
    <w:name w:val="Heading 5 Char"/>
    <w:basedOn w:val="20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8">
    <w:name w:val="Heading 6 Char"/>
    <w:basedOn w:val="20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9">
    <w:name w:val="Heading 7 Char"/>
    <w:basedOn w:val="20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0">
    <w:name w:val="Heading 8 Char"/>
    <w:basedOn w:val="20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1">
    <w:name w:val="Heading 9 Char"/>
    <w:basedOn w:val="20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32">
    <w:name w:val="Title Char"/>
    <w:basedOn w:val="20"/>
    <w:link w:val="16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3">
    <w:name w:val="Subtitle Char"/>
    <w:basedOn w:val="20"/>
    <w:link w:val="1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4">
    <w:name w:val="Quote"/>
    <w:basedOn w:val="1"/>
    <w:next w:val="1"/>
    <w:link w:val="35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5">
    <w:name w:val="Quote Char"/>
    <w:basedOn w:val="20"/>
    <w:link w:val="34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character" w:customStyle="1" w:styleId="37">
    <w:name w:val="明显强调1"/>
    <w:basedOn w:val="20"/>
    <w:qFormat/>
    <w:uiPriority w:val="21"/>
    <w:rPr>
      <w:i/>
      <w:iCs/>
      <w:color w:val="104862" w:themeColor="accent1" w:themeShade="BF"/>
    </w:rPr>
  </w:style>
  <w:style w:type="paragraph" w:styleId="38">
    <w:name w:val="Intense Quote"/>
    <w:basedOn w:val="1"/>
    <w:next w:val="1"/>
    <w:link w:val="39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9">
    <w:name w:val="Intense Quote Char"/>
    <w:basedOn w:val="20"/>
    <w:link w:val="38"/>
    <w:qFormat/>
    <w:uiPriority w:val="30"/>
    <w:rPr>
      <w:i/>
      <w:iCs/>
      <w:color w:val="104862" w:themeColor="accent1" w:themeShade="BF"/>
    </w:rPr>
  </w:style>
  <w:style w:type="character" w:customStyle="1" w:styleId="40">
    <w:name w:val="明显参考1"/>
    <w:basedOn w:val="20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41">
    <w:name w:val="Comment Text Char"/>
    <w:basedOn w:val="20"/>
    <w:link w:val="11"/>
    <w:qFormat/>
    <w:uiPriority w:val="99"/>
    <w:rPr>
      <w:sz w:val="20"/>
      <w:szCs w:val="20"/>
    </w:rPr>
  </w:style>
  <w:style w:type="character" w:customStyle="1" w:styleId="42">
    <w:name w:val="Comment Subject Char"/>
    <w:basedOn w:val="41"/>
    <w:link w:val="17"/>
    <w:semiHidden/>
    <w:qFormat/>
    <w:uiPriority w:val="99"/>
    <w:rPr>
      <w:b/>
      <w:bCs/>
      <w:sz w:val="20"/>
      <w:szCs w:val="20"/>
    </w:rPr>
  </w:style>
  <w:style w:type="character" w:customStyle="1" w:styleId="43">
    <w:name w:val="未处理的提及1"/>
    <w:basedOn w:val="2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4">
    <w:name w:val="Balloon Text Char"/>
    <w:basedOn w:val="20"/>
    <w:link w:val="12"/>
    <w:semiHidden/>
    <w:qFormat/>
    <w:uiPriority w:val="99"/>
    <w:rPr>
      <w:kern w:val="2"/>
      <w:sz w:val="18"/>
      <w:szCs w:val="18"/>
      <w:lang w:val="en-CA"/>
      <w14:ligatures w14:val="standardContextual"/>
    </w:rPr>
  </w:style>
  <w:style w:type="character" w:customStyle="1" w:styleId="45">
    <w:name w:val="Header Char"/>
    <w:basedOn w:val="20"/>
    <w:link w:val="14"/>
    <w:qFormat/>
    <w:uiPriority w:val="99"/>
    <w:rPr>
      <w:kern w:val="2"/>
      <w:sz w:val="18"/>
      <w:szCs w:val="18"/>
      <w:lang w:val="en-CA"/>
      <w14:ligatures w14:val="standardContextual"/>
    </w:rPr>
  </w:style>
  <w:style w:type="character" w:customStyle="1" w:styleId="46">
    <w:name w:val="Footer Char"/>
    <w:basedOn w:val="20"/>
    <w:link w:val="13"/>
    <w:qFormat/>
    <w:uiPriority w:val="99"/>
    <w:rPr>
      <w:kern w:val="2"/>
      <w:sz w:val="18"/>
      <w:szCs w:val="18"/>
      <w:lang w:val="en-C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tiff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298</Words>
  <Characters>2109</Characters>
  <Lines>17</Lines>
  <Paragraphs>4</Paragraphs>
  <TotalTime>0</TotalTime>
  <ScaleCrop>false</ScaleCrop>
  <LinksUpToDate>false</LinksUpToDate>
  <CharactersWithSpaces>2372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2024-08-20T21:18:00Z</dcterms:created>
  <dc:creator>Alina Yao</dc:creator>
  <cp:lastModifiedBy>120439801@qq.com</cp:lastModifiedBy>
  <dcterms:modified xsi:type="dcterms:W3CDTF">2024-08-22T11:17:09Z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E8717901D253433E88830AF3134023CA_13</vt:lpwstr>
  </property>
</Properties>
</file>