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0D141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both"/>
        <w:textAlignment w:val="auto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upplementary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Figure legends</w:t>
      </w:r>
    </w:p>
    <w:p w14:paraId="5F29CD72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Fig. S1 Multiple alignment of amino acid sequences of TgAMTs.</w:t>
      </w:r>
    </w:p>
    <w:p w14:paraId="4D037BE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Fig. S2 Prediction of secondary and tertiary structure of TgAMT5. Secondary Structure prediction (A) and Peak map visualization (B) for TgAMT5 (blue: Alpha helix; Green: Beta turn; Yellow: Random coil; Red: Extended strand). (C) Prediction of tertiary structure of TgAMT5.</w:t>
      </w:r>
    </w:p>
    <w:p w14:paraId="07BF352F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Fig. S3 The binding of TgWRKY2 to the promoter of TgAMT5 was verified by yeast single hybridization and the growth was performed on SD/-Trp/-Ura solid medium.</w:t>
      </w:r>
    </w:p>
    <w:p w14:paraId="112437B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  <w:bookmarkStart w:id="0" w:name="_GoBack"/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Table. S1 Primers for RT-qPCR.</w:t>
      </w:r>
    </w:p>
    <w:bookmarkEnd w:id="0"/>
    <w:p w14:paraId="15E3ED4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Table. S2 Primers for yeast one hybridization.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000000"/>
    <w:rsid w:val="12885DA7"/>
    <w:rsid w:val="49A10474"/>
    <w:rsid w:val="5CF71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MDPI_7.1_References"/>
    <w:autoRedefine/>
    <w:qFormat/>
    <w:uiPriority w:val="0"/>
    <w:pPr>
      <w:adjustRightInd w:val="0"/>
      <w:snapToGrid w:val="0"/>
      <w:spacing w:line="228" w:lineRule="auto"/>
      <w:jc w:val="both"/>
    </w:pPr>
    <w:rPr>
      <w:rFonts w:ascii="Palatino Linotype" w:hAnsi="Palatino Linotype" w:eastAsia="Times New Roman" w:cs="Times New Roman"/>
      <w:color w:val="000000"/>
      <w:sz w:val="18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513</Characters>
  <Lines>0</Lines>
  <Paragraphs>0</Paragraphs>
  <TotalTime>4</TotalTime>
  <ScaleCrop>false</ScaleCrop>
  <LinksUpToDate>false</LinksUpToDate>
  <CharactersWithSpaces>598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2024-07-03T04:31:00Z</dcterms:created>
  <dc:creator>yuchenliang</dc:creator>
  <cp:lastModifiedBy>老俞</cp:lastModifiedBy>
  <dcterms:modified xsi:type="dcterms:W3CDTF">2024-08-05T09:01:48Z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99CCBB4673614F4DBE766BE882395502_12</vt:lpwstr>
  </property>
</Properties>
</file>