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B7F26D">
      <w:pPr>
        <w:widowControl w:val="0"/>
        <w:spacing w:line="240" w:lineRule="auto"/>
        <w:ind w:firstLine="0" w:firstLineChars="0"/>
        <w:jc w:val="center"/>
        <w:outlineLvl w:val="0"/>
        <w:rPr>
          <w:rFonts w:cs="Times New Roman" w:eastAsiaTheme="minorEastAsia"/>
          <w:b/>
          <w:bCs/>
          <w:color w:val="000000" w:themeColor="text1"/>
          <w:kern w:val="2"/>
          <w:sz w:val="28"/>
          <w:szCs w:val="28"/>
          <w14:textFill>
            <w14:solidFill>
              <w14:schemeClr w14:val="tx1"/>
            </w14:solidFill>
          </w14:textFill>
        </w:rPr>
      </w:pPr>
      <w:r>
        <w:rPr>
          <w:rFonts w:cs="Times New Roman" w:eastAsiaTheme="minorEastAsia"/>
          <w:b/>
          <w:bCs/>
          <w:color w:val="000000" w:themeColor="text1"/>
          <w:kern w:val="2"/>
          <w:sz w:val="28"/>
          <w:szCs w:val="28"/>
          <w14:textFill>
            <w14:solidFill>
              <w14:schemeClr w14:val="tx1"/>
            </w14:solidFill>
          </w14:textFill>
        </w:rPr>
        <w:t>Supplementary Material for</w:t>
      </w:r>
    </w:p>
    <w:p w14:paraId="24115C23">
      <w:pPr>
        <w:widowControl w:val="0"/>
        <w:spacing w:line="240" w:lineRule="auto"/>
        <w:ind w:firstLine="0" w:firstLineChars="0"/>
        <w:jc w:val="center"/>
        <w:outlineLvl w:val="0"/>
        <w:rPr>
          <w:rFonts w:hint="default" w:cs="Times New Roman" w:eastAsiaTheme="minorEastAsia"/>
          <w:b/>
          <w:bCs/>
          <w:color w:val="000000" w:themeColor="text1"/>
          <w:kern w:val="2"/>
          <w:sz w:val="36"/>
          <w:szCs w:val="36"/>
          <w:lang w:val="en-US" w:eastAsia="zh-CN"/>
          <w14:textFill>
            <w14:solidFill>
              <w14:schemeClr w14:val="tx1"/>
            </w14:solidFill>
          </w14:textFill>
        </w:rPr>
      </w:pPr>
      <w:bookmarkStart w:id="0" w:name="_Hlk174188958"/>
      <w:bookmarkStart w:id="1" w:name="_Hlk174177409"/>
      <w:r>
        <w:rPr>
          <w:rFonts w:hint="eastAsia" w:cs="Times New Roman" w:eastAsiaTheme="minorEastAsia"/>
          <w:b/>
          <w:bCs/>
          <w:color w:val="000000" w:themeColor="text1"/>
          <w:kern w:val="2"/>
          <w:sz w:val="36"/>
          <w:szCs w:val="36"/>
          <w:lang w:val="en-US" w:eastAsia="zh-CN"/>
          <w14:textFill>
            <w14:solidFill>
              <w14:schemeClr w14:val="tx1"/>
            </w14:solidFill>
          </w14:textFill>
        </w:rPr>
        <w:t>Ultra-Compact Solar Telescope with</w:t>
      </w:r>
      <w:r>
        <w:rPr>
          <w:rFonts w:cs="Times New Roman" w:eastAsiaTheme="minorEastAsia"/>
          <w:b/>
          <w:bCs/>
          <w:color w:val="000000" w:themeColor="text1"/>
          <w:kern w:val="2"/>
          <w:sz w:val="36"/>
          <w:szCs w:val="36"/>
          <w14:textFill>
            <w14:solidFill>
              <w14:schemeClr w14:val="tx1"/>
            </w14:solidFill>
          </w14:textFill>
        </w:rPr>
        <w:t xml:space="preserve"> </w:t>
      </w:r>
      <w:r>
        <w:rPr>
          <w:rFonts w:hint="eastAsia" w:cs="Times New Roman" w:eastAsiaTheme="minorEastAsia"/>
          <w:b/>
          <w:bCs/>
          <w:color w:val="000000" w:themeColor="text1"/>
          <w:kern w:val="2"/>
          <w:sz w:val="36"/>
          <w:szCs w:val="36"/>
          <w:lang w:val="en-US" w:eastAsia="zh-CN"/>
          <w14:textFill>
            <w14:solidFill>
              <w14:schemeClr w14:val="tx1"/>
            </w14:solidFill>
          </w14:textFill>
        </w:rPr>
        <w:t>Wavefront Correction Ability</w:t>
      </w:r>
    </w:p>
    <w:bookmarkEnd w:id="0"/>
    <w:p w14:paraId="290DD7C4">
      <w:pPr>
        <w:widowControl w:val="0"/>
        <w:spacing w:line="240" w:lineRule="auto"/>
        <w:ind w:firstLine="0" w:firstLineChars="0"/>
        <w:jc w:val="center"/>
        <w:rPr>
          <w:rFonts w:cs="Times New Roman" w:eastAsiaTheme="minorEastAsia"/>
          <w:color w:val="000000" w:themeColor="text1"/>
          <w:kern w:val="2"/>
          <w14:textFill>
            <w14:solidFill>
              <w14:schemeClr w14:val="tx1"/>
            </w14:solidFill>
          </w14:textFill>
        </w:rPr>
      </w:pPr>
      <w:bookmarkStart w:id="2" w:name="_GoBack"/>
      <w:bookmarkEnd w:id="2"/>
      <w:r>
        <w:rPr>
          <w:rFonts w:cs="Times New Roman" w:eastAsiaTheme="minorEastAsia"/>
          <w:color w:val="000000" w:themeColor="text1"/>
          <w:kern w:val="2"/>
          <w14:textFill>
            <w14:solidFill>
              <w14:schemeClr w14:val="tx1"/>
            </w14:solidFill>
          </w14:textFill>
        </w:rPr>
        <w:t>Naiting Gu</w:t>
      </w:r>
      <w:r>
        <w:rPr>
          <w:rFonts w:hint="eastAsia" w:cs="Times New Roman" w:eastAsiaTheme="minorEastAsia"/>
          <w:color w:val="000000" w:themeColor="text1"/>
          <w:kern w:val="2"/>
          <w:vertAlign w:val="superscript"/>
          <w14:textFill>
            <w14:solidFill>
              <w14:schemeClr w14:val="tx1"/>
            </w14:solidFill>
          </w14:textFill>
        </w:rPr>
        <w:t>a</w:t>
      </w:r>
      <w:r>
        <w:rPr>
          <w:rFonts w:cs="Times New Roman" w:eastAsiaTheme="minorEastAsia"/>
          <w:color w:val="000000" w:themeColor="text1"/>
          <w:kern w:val="2"/>
          <w:vertAlign w:val="superscript"/>
          <w14:textFill>
            <w14:solidFill>
              <w14:schemeClr w14:val="tx1"/>
            </w14:solidFill>
          </w14:textFill>
        </w:rPr>
        <w:t>,b,c,d,*</w:t>
      </w:r>
      <w:r>
        <w:rPr>
          <w:rFonts w:cs="Times New Roman" w:eastAsiaTheme="minorEastAsia"/>
          <w:color w:val="000000" w:themeColor="text1"/>
          <w:kern w:val="2"/>
          <w14:textFill>
            <w14:solidFill>
              <w14:schemeClr w14:val="tx1"/>
            </w14:solidFill>
          </w14:textFill>
        </w:rPr>
        <w:t>, Hao Chen</w:t>
      </w:r>
      <w:r>
        <w:rPr>
          <w:rFonts w:hint="eastAsia" w:cs="Times New Roman" w:eastAsiaTheme="minorEastAsia"/>
          <w:color w:val="000000" w:themeColor="text1"/>
          <w:kern w:val="2"/>
          <w:vertAlign w:val="superscript"/>
          <w14:textFill>
            <w14:solidFill>
              <w14:schemeClr w14:val="tx1"/>
            </w14:solidFill>
          </w14:textFill>
        </w:rPr>
        <w:t>a</w:t>
      </w:r>
      <w:r>
        <w:rPr>
          <w:rFonts w:cs="Times New Roman" w:eastAsiaTheme="minorEastAsia"/>
          <w:color w:val="000000" w:themeColor="text1"/>
          <w:kern w:val="2"/>
          <w:vertAlign w:val="superscript"/>
          <w14:textFill>
            <w14:solidFill>
              <w14:schemeClr w14:val="tx1"/>
            </w14:solidFill>
          </w14:textFill>
        </w:rPr>
        <w:t>,c,d</w:t>
      </w:r>
      <w:r>
        <w:rPr>
          <w:rFonts w:cs="Times New Roman" w:eastAsiaTheme="minorEastAsia"/>
          <w:color w:val="000000" w:themeColor="text1"/>
          <w:kern w:val="2"/>
          <w14:textFill>
            <w14:solidFill>
              <w14:schemeClr w14:val="tx1"/>
            </w14:solidFill>
          </w14:textFill>
        </w:rPr>
        <w:t xml:space="preserve">, </w:t>
      </w:r>
      <w:r>
        <w:rPr>
          <w:rFonts w:hint="eastAsia" w:cs="Times New Roman" w:eastAsiaTheme="minorEastAsia"/>
          <w:color w:val="000000" w:themeColor="text1"/>
          <w:kern w:val="2"/>
          <w14:textFill>
            <w14:solidFill>
              <w14:schemeClr w14:val="tx1"/>
            </w14:solidFill>
          </w14:textFill>
        </w:rPr>
        <w:t>Ao Tang</w:t>
      </w:r>
      <w:r>
        <w:rPr>
          <w:rFonts w:hint="eastAsia" w:cs="Times New Roman" w:eastAsiaTheme="minorEastAsia"/>
          <w:color w:val="000000" w:themeColor="text1"/>
          <w:kern w:val="2"/>
          <w:vertAlign w:val="superscript"/>
          <w14:textFill>
            <w14:solidFill>
              <w14:schemeClr w14:val="tx1"/>
            </w14:solidFill>
          </w14:textFill>
        </w:rPr>
        <w:t>a</w:t>
      </w:r>
      <w:r>
        <w:rPr>
          <w:rFonts w:cs="Times New Roman" w:eastAsiaTheme="minorEastAsia"/>
          <w:color w:val="000000" w:themeColor="text1"/>
          <w:kern w:val="2"/>
          <w:vertAlign w:val="superscript"/>
          <w14:textFill>
            <w14:solidFill>
              <w14:schemeClr w14:val="tx1"/>
            </w14:solidFill>
          </w14:textFill>
        </w:rPr>
        <w:t>,c,d</w:t>
      </w:r>
      <w:r>
        <w:rPr>
          <w:rFonts w:hint="eastAsia" w:cs="Times New Roman" w:eastAsiaTheme="minorEastAsia"/>
          <w:color w:val="000000" w:themeColor="text1"/>
          <w:kern w:val="2"/>
          <w14:textFill>
            <w14:solidFill>
              <w14:schemeClr w14:val="tx1"/>
            </w14:solidFill>
          </w14:textFill>
        </w:rPr>
        <w:t xml:space="preserve">, </w:t>
      </w:r>
      <w:r>
        <w:rPr>
          <w:rFonts w:cs="Times New Roman" w:eastAsiaTheme="minorEastAsia"/>
          <w:color w:val="000000" w:themeColor="text1"/>
          <w:kern w:val="2"/>
          <w14:textFill>
            <w14:solidFill>
              <w14:schemeClr w14:val="tx1"/>
            </w14:solidFill>
          </w14:textFill>
        </w:rPr>
        <w:t>Xinlong Fan</w:t>
      </w:r>
      <w:r>
        <w:rPr>
          <w:rFonts w:hint="eastAsia" w:cs="Times New Roman" w:eastAsiaTheme="minorEastAsia"/>
          <w:color w:val="000000" w:themeColor="text1"/>
          <w:kern w:val="2"/>
          <w:vertAlign w:val="superscript"/>
          <w14:textFill>
            <w14:solidFill>
              <w14:schemeClr w14:val="tx1"/>
            </w14:solidFill>
          </w14:textFill>
        </w:rPr>
        <w:t>a</w:t>
      </w:r>
      <w:r>
        <w:rPr>
          <w:rFonts w:cs="Times New Roman" w:eastAsiaTheme="minorEastAsia"/>
          <w:color w:val="000000" w:themeColor="text1"/>
          <w:kern w:val="2"/>
          <w:vertAlign w:val="superscript"/>
          <w14:textFill>
            <w14:solidFill>
              <w14:schemeClr w14:val="tx1"/>
            </w14:solidFill>
          </w14:textFill>
        </w:rPr>
        <w:t>,c,d</w:t>
      </w:r>
      <w:r>
        <w:rPr>
          <w:rFonts w:cs="Times New Roman" w:eastAsiaTheme="minorEastAsia"/>
          <w:color w:val="000000" w:themeColor="text1"/>
          <w:kern w:val="2"/>
          <w14:textFill>
            <w14:solidFill>
              <w14:schemeClr w14:val="tx1"/>
            </w14:solidFill>
          </w14:textFill>
        </w:rPr>
        <w:t xml:space="preserve">, </w:t>
      </w:r>
      <w:r>
        <w:rPr>
          <w:rFonts w:hint="eastAsia" w:cs="Times New Roman" w:eastAsiaTheme="minorEastAsia"/>
          <w:color w:val="000000" w:themeColor="text1"/>
          <w:kern w:val="2"/>
          <w14:textFill>
            <w14:solidFill>
              <w14:schemeClr w14:val="tx1"/>
            </w14:solidFill>
          </w14:textFill>
        </w:rPr>
        <w:t>Carlos Quintero Noda</w:t>
      </w:r>
      <w:r>
        <w:rPr>
          <w:rFonts w:hint="eastAsia" w:cs="Times New Roman" w:eastAsiaTheme="minorEastAsia"/>
          <w:color w:val="000000" w:themeColor="text1"/>
          <w:kern w:val="2"/>
          <w:vertAlign w:val="superscript"/>
          <w14:textFill>
            <w14:solidFill>
              <w14:schemeClr w14:val="tx1"/>
            </w14:solidFill>
          </w14:textFill>
        </w:rPr>
        <w:t>e</w:t>
      </w:r>
      <w:r>
        <w:rPr>
          <w:rFonts w:cs="Times New Roman" w:eastAsiaTheme="minorEastAsia"/>
          <w:color w:val="000000" w:themeColor="text1"/>
          <w:kern w:val="2"/>
          <w:vertAlign w:val="superscript"/>
          <w14:textFill>
            <w14:solidFill>
              <w14:schemeClr w14:val="tx1"/>
            </w14:solidFill>
          </w14:textFill>
        </w:rPr>
        <w:t>,</w:t>
      </w:r>
      <w:r>
        <w:rPr>
          <w:rFonts w:hint="eastAsia" w:cs="Times New Roman" w:eastAsiaTheme="minorEastAsia"/>
          <w:color w:val="000000" w:themeColor="text1"/>
          <w:kern w:val="2"/>
          <w:vertAlign w:val="superscript"/>
          <w14:textFill>
            <w14:solidFill>
              <w14:schemeClr w14:val="tx1"/>
            </w14:solidFill>
          </w14:textFill>
        </w:rPr>
        <w:t>f</w:t>
      </w:r>
      <w:r>
        <w:rPr>
          <w:rFonts w:hint="eastAsia" w:cs="Times New Roman" w:eastAsiaTheme="minorEastAsia"/>
          <w:color w:val="000000" w:themeColor="text1"/>
          <w:kern w:val="2"/>
          <w14:textFill>
            <w14:solidFill>
              <w14:schemeClr w14:val="tx1"/>
            </w14:solidFill>
          </w14:textFill>
        </w:rPr>
        <w:t xml:space="preserve">, </w:t>
      </w:r>
      <w:r>
        <w:rPr>
          <w:rFonts w:cs="Times New Roman" w:eastAsiaTheme="minorEastAsia"/>
          <w:color w:val="000000" w:themeColor="text1"/>
          <w:kern w:val="2"/>
          <w14:textFill>
            <w14:solidFill>
              <w14:schemeClr w14:val="tx1"/>
            </w14:solidFill>
          </w14:textFill>
        </w:rPr>
        <w:t>Yawei Xiao</w:t>
      </w:r>
      <w:r>
        <w:rPr>
          <w:rFonts w:hint="eastAsia" w:cs="Times New Roman" w:eastAsiaTheme="minorEastAsia"/>
          <w:color w:val="000000" w:themeColor="text1"/>
          <w:kern w:val="2"/>
          <w:vertAlign w:val="superscript"/>
          <w14:textFill>
            <w14:solidFill>
              <w14:schemeClr w14:val="tx1"/>
            </w14:solidFill>
          </w14:textFill>
        </w:rPr>
        <w:t>a</w:t>
      </w:r>
      <w:r>
        <w:rPr>
          <w:rFonts w:cs="Times New Roman" w:eastAsiaTheme="minorEastAsia"/>
          <w:color w:val="000000" w:themeColor="text1"/>
          <w:kern w:val="2"/>
          <w:vertAlign w:val="superscript"/>
          <w14:textFill>
            <w14:solidFill>
              <w14:schemeClr w14:val="tx1"/>
            </w14:solidFill>
          </w14:textFill>
        </w:rPr>
        <w:t>,b,c,d</w:t>
      </w:r>
      <w:r>
        <w:rPr>
          <w:rFonts w:cs="Times New Roman" w:eastAsiaTheme="minorEastAsia"/>
          <w:color w:val="000000" w:themeColor="text1"/>
          <w:kern w:val="2"/>
          <w14:textFill>
            <w14:solidFill>
              <w14:schemeClr w14:val="tx1"/>
            </w14:solidFill>
          </w14:textFill>
        </w:rPr>
        <w:t>,</w:t>
      </w:r>
      <w:r>
        <w:rPr>
          <w:rFonts w:hint="eastAsia" w:cs="Times New Roman" w:eastAsiaTheme="minorEastAsia"/>
          <w:color w:val="000000" w:themeColor="text1"/>
          <w:kern w:val="2"/>
          <w14:textFill>
            <w14:solidFill>
              <w14:schemeClr w14:val="tx1"/>
            </w14:solidFill>
          </w14:textFill>
        </w:rPr>
        <w:t xml:space="preserve"> </w:t>
      </w:r>
      <w:r>
        <w:rPr>
          <w:rFonts w:cs="Times New Roman" w:eastAsiaTheme="minorEastAsia"/>
          <w:color w:val="000000" w:themeColor="text1"/>
          <w:kern w:val="2"/>
          <w14:textFill>
            <w14:solidFill>
              <w14:schemeClr w14:val="tx1"/>
            </w14:solidFill>
          </w14:textFill>
        </w:rPr>
        <w:t>Libo Zhong</w:t>
      </w:r>
      <w:r>
        <w:rPr>
          <w:rFonts w:hint="eastAsia" w:cs="Times New Roman" w:eastAsiaTheme="minorEastAsia"/>
          <w:color w:val="000000" w:themeColor="text1"/>
          <w:kern w:val="2"/>
          <w:vertAlign w:val="superscript"/>
          <w14:textFill>
            <w14:solidFill>
              <w14:schemeClr w14:val="tx1"/>
            </w14:solidFill>
          </w14:textFill>
        </w:rPr>
        <w:t>a</w:t>
      </w:r>
      <w:r>
        <w:rPr>
          <w:rFonts w:cs="Times New Roman" w:eastAsiaTheme="minorEastAsia"/>
          <w:color w:val="000000" w:themeColor="text1"/>
          <w:kern w:val="2"/>
          <w:vertAlign w:val="superscript"/>
          <w14:textFill>
            <w14:solidFill>
              <w14:schemeClr w14:val="tx1"/>
            </w14:solidFill>
          </w14:textFill>
        </w:rPr>
        <w:t>,c,d</w:t>
      </w:r>
      <w:r>
        <w:rPr>
          <w:rFonts w:cs="Times New Roman" w:eastAsiaTheme="minorEastAsia"/>
          <w:color w:val="000000" w:themeColor="text1"/>
          <w:kern w:val="2"/>
          <w14:textFill>
            <w14:solidFill>
              <w14:schemeClr w14:val="tx1"/>
            </w14:solidFill>
          </w14:textFill>
        </w:rPr>
        <w:t>,</w:t>
      </w:r>
      <w:r>
        <w:rPr>
          <w:rFonts w:hint="eastAsia" w:cs="Times New Roman" w:eastAsiaTheme="minorEastAsia"/>
          <w:color w:val="000000" w:themeColor="text1"/>
          <w:kern w:val="2"/>
          <w14:textFill>
            <w14:solidFill>
              <w14:schemeClr w14:val="tx1"/>
            </w14:solidFill>
          </w14:textFill>
        </w:rPr>
        <w:t xml:space="preserve"> </w:t>
      </w:r>
      <w:r>
        <w:rPr>
          <w:rFonts w:cs="Times New Roman" w:eastAsiaTheme="minorEastAsia"/>
          <w:color w:val="000000" w:themeColor="text1"/>
          <w:kern w:val="2"/>
          <w14:textFill>
            <w14:solidFill>
              <w14:schemeClr w14:val="tx1"/>
            </w14:solidFill>
          </w14:textFill>
        </w:rPr>
        <w:t>Xiaosong Wu</w:t>
      </w:r>
      <w:r>
        <w:rPr>
          <w:rFonts w:hint="eastAsia" w:cs="Times New Roman" w:eastAsiaTheme="minorEastAsia"/>
          <w:color w:val="000000" w:themeColor="text1"/>
          <w:kern w:val="2"/>
          <w:vertAlign w:val="superscript"/>
          <w14:textFill>
            <w14:solidFill>
              <w14:schemeClr w14:val="tx1"/>
            </w14:solidFill>
          </w14:textFill>
        </w:rPr>
        <w:t>a</w:t>
      </w:r>
      <w:r>
        <w:rPr>
          <w:rFonts w:cs="Times New Roman" w:eastAsiaTheme="minorEastAsia"/>
          <w:color w:val="000000" w:themeColor="text1"/>
          <w:kern w:val="2"/>
          <w:vertAlign w:val="superscript"/>
          <w14:textFill>
            <w14:solidFill>
              <w14:schemeClr w14:val="tx1"/>
            </w14:solidFill>
          </w14:textFill>
        </w:rPr>
        <w:t>,b,c,d</w:t>
      </w:r>
      <w:r>
        <w:rPr>
          <w:rFonts w:cs="Times New Roman" w:eastAsiaTheme="minorEastAsia"/>
          <w:color w:val="000000" w:themeColor="text1"/>
          <w:kern w:val="2"/>
          <w14:textFill>
            <w14:solidFill>
              <w14:schemeClr w14:val="tx1"/>
            </w14:solidFill>
          </w14:textFill>
        </w:rPr>
        <w:t>,  Zhenyu Zhang</w:t>
      </w:r>
      <w:r>
        <w:rPr>
          <w:rFonts w:cs="Times New Roman" w:eastAsiaTheme="minorEastAsia"/>
          <w:color w:val="000000" w:themeColor="text1"/>
          <w:kern w:val="2"/>
          <w:vertAlign w:val="superscript"/>
          <w14:textFill>
            <w14:solidFill>
              <w14:schemeClr w14:val="tx1"/>
            </w14:solidFill>
          </w14:textFill>
        </w:rPr>
        <w:t>c</w:t>
      </w:r>
      <w:r>
        <w:rPr>
          <w:rFonts w:cs="Times New Roman" w:eastAsiaTheme="minorEastAsia"/>
          <w:color w:val="000000" w:themeColor="text1"/>
          <w:kern w:val="2"/>
          <w14:textFill>
            <w14:solidFill>
              <w14:schemeClr w14:val="tx1"/>
            </w14:solidFill>
          </w14:textFill>
        </w:rPr>
        <w:t>, Yanrong Yang</w:t>
      </w:r>
      <w:r>
        <w:rPr>
          <w:rFonts w:hint="eastAsia" w:cs="Times New Roman" w:eastAsiaTheme="minorEastAsia"/>
          <w:color w:val="000000" w:themeColor="text1"/>
          <w:kern w:val="2"/>
          <w:vertAlign w:val="superscript"/>
          <w14:textFill>
            <w14:solidFill>
              <w14:schemeClr w14:val="tx1"/>
            </w14:solidFill>
          </w14:textFill>
        </w:rPr>
        <w:t>g</w:t>
      </w:r>
      <w:r>
        <w:rPr>
          <w:rFonts w:cs="Times New Roman" w:eastAsiaTheme="minorEastAsia"/>
          <w:color w:val="000000" w:themeColor="text1"/>
          <w:kern w:val="2"/>
          <w14:textFill>
            <w14:solidFill>
              <w14:schemeClr w14:val="tx1"/>
            </w14:solidFill>
          </w14:textFill>
        </w:rPr>
        <w:t>, Xiaohu Wu</w:t>
      </w:r>
      <w:r>
        <w:rPr>
          <w:rFonts w:hint="eastAsia" w:cs="Times New Roman" w:eastAsiaTheme="minorEastAsia"/>
          <w:color w:val="000000" w:themeColor="text1"/>
          <w:kern w:val="2"/>
          <w:vertAlign w:val="superscript"/>
          <w14:textFill>
            <w14:solidFill>
              <w14:schemeClr w14:val="tx1"/>
            </w14:solidFill>
          </w14:textFill>
        </w:rPr>
        <w:t>h</w:t>
      </w:r>
      <w:r>
        <w:rPr>
          <w:rFonts w:cs="Times New Roman" w:eastAsiaTheme="minorEastAsia"/>
          <w:color w:val="000000" w:themeColor="text1"/>
          <w:kern w:val="2"/>
          <w:vertAlign w:val="superscript"/>
          <w14:textFill>
            <w14:solidFill>
              <w14:schemeClr w14:val="tx1"/>
            </w14:solidFill>
          </w14:textFill>
        </w:rPr>
        <w:t>,*</w:t>
      </w:r>
      <w:r>
        <w:rPr>
          <w:rFonts w:cs="Times New Roman" w:eastAsiaTheme="minorEastAsia"/>
          <w:color w:val="000000" w:themeColor="text1"/>
          <w:kern w:val="2"/>
          <w14:textFill>
            <w14:solidFill>
              <w14:schemeClr w14:val="tx1"/>
            </w14:solidFill>
          </w14:textFill>
        </w:rPr>
        <w:t>, Linhai Huang</w:t>
      </w:r>
      <w:r>
        <w:rPr>
          <w:rFonts w:hint="eastAsia" w:cs="Times New Roman" w:eastAsiaTheme="minorEastAsia"/>
          <w:color w:val="000000" w:themeColor="text1"/>
          <w:kern w:val="2"/>
          <w:vertAlign w:val="superscript"/>
          <w14:textFill>
            <w14:solidFill>
              <w14:schemeClr w14:val="tx1"/>
            </w14:solidFill>
          </w14:textFill>
        </w:rPr>
        <w:t>a</w:t>
      </w:r>
      <w:r>
        <w:rPr>
          <w:rFonts w:cs="Times New Roman" w:eastAsiaTheme="minorEastAsia"/>
          <w:color w:val="000000" w:themeColor="text1"/>
          <w:kern w:val="2"/>
          <w:vertAlign w:val="superscript"/>
          <w14:textFill>
            <w14:solidFill>
              <w14:schemeClr w14:val="tx1"/>
            </w14:solidFill>
          </w14:textFill>
        </w:rPr>
        <w:t>,b,c,d,*</w:t>
      </w:r>
      <w:r>
        <w:rPr>
          <w:rFonts w:cs="Times New Roman" w:eastAsiaTheme="minorEastAsia"/>
          <w:color w:val="000000" w:themeColor="text1"/>
          <w:kern w:val="2"/>
          <w14:textFill>
            <w14:solidFill>
              <w14:schemeClr w14:val="tx1"/>
            </w14:solidFill>
          </w14:textFill>
        </w:rPr>
        <w:t>,</w:t>
      </w:r>
      <w:r>
        <w:rPr>
          <w:rFonts w:hint="eastAsia" w:cs="Times New Roman" w:eastAsiaTheme="minorEastAsia"/>
          <w:color w:val="000000" w:themeColor="text1"/>
          <w:kern w:val="2"/>
          <w14:textFill>
            <w14:solidFill>
              <w14:schemeClr w14:val="tx1"/>
            </w14:solidFill>
          </w14:textFill>
        </w:rPr>
        <w:t>Zao Yi</w:t>
      </w:r>
      <w:r>
        <w:rPr>
          <w:rFonts w:hint="eastAsia" w:cs="Times New Roman" w:eastAsiaTheme="minorEastAsia"/>
          <w:color w:val="000000" w:themeColor="text1"/>
          <w:kern w:val="2"/>
          <w:vertAlign w:val="superscript"/>
          <w14:textFill>
            <w14:solidFill>
              <w14:schemeClr w14:val="tx1"/>
            </w14:solidFill>
          </w14:textFill>
        </w:rPr>
        <w:t>i</w:t>
      </w:r>
      <w:r>
        <w:rPr>
          <w:rFonts w:hint="eastAsia" w:cs="Times New Roman" w:eastAsiaTheme="minorEastAsia"/>
          <w:color w:val="000000" w:themeColor="text1"/>
          <w:kern w:val="2"/>
          <w14:textFill>
            <w14:solidFill>
              <w14:schemeClr w14:val="tx1"/>
            </w14:solidFill>
          </w14:textFill>
        </w:rPr>
        <w:t>, and Changhui Rao</w:t>
      </w:r>
      <w:r>
        <w:rPr>
          <w:rFonts w:hint="eastAsia" w:cs="Times New Roman" w:eastAsiaTheme="minorEastAsia"/>
          <w:color w:val="000000" w:themeColor="text1"/>
          <w:kern w:val="2"/>
          <w:vertAlign w:val="superscript"/>
          <w14:textFill>
            <w14:solidFill>
              <w14:schemeClr w14:val="tx1"/>
            </w14:solidFill>
          </w14:textFill>
        </w:rPr>
        <w:t>a</w:t>
      </w:r>
      <w:r>
        <w:rPr>
          <w:rFonts w:cs="Times New Roman" w:eastAsiaTheme="minorEastAsia"/>
          <w:color w:val="000000" w:themeColor="text1"/>
          <w:kern w:val="2"/>
          <w:vertAlign w:val="superscript"/>
          <w14:textFill>
            <w14:solidFill>
              <w14:schemeClr w14:val="tx1"/>
            </w14:solidFill>
          </w14:textFill>
        </w:rPr>
        <w:t>,b,c,d</w:t>
      </w:r>
      <w:r>
        <w:rPr>
          <w:rFonts w:hint="eastAsia" w:cs="Times New Roman" w:eastAsiaTheme="minorEastAsia"/>
          <w:color w:val="000000" w:themeColor="text1"/>
          <w:kern w:val="2"/>
          <w14:textFill>
            <w14:solidFill>
              <w14:schemeClr w14:val="tx1"/>
            </w14:solidFill>
          </w14:textFill>
        </w:rPr>
        <w:t xml:space="preserve"> </w:t>
      </w:r>
    </w:p>
    <w:p w14:paraId="131B52EC">
      <w:pPr>
        <w:widowControl w:val="0"/>
        <w:spacing w:line="240" w:lineRule="auto"/>
        <w:ind w:firstLine="0" w:firstLineChars="0"/>
        <w:rPr>
          <w:rFonts w:cs="Times New Roman" w:eastAsiaTheme="minorEastAsia"/>
          <w:i/>
          <w:iCs/>
          <w:color w:val="000000" w:themeColor="text1"/>
          <w:kern w:val="2"/>
          <w:sz w:val="21"/>
          <w:szCs w:val="21"/>
          <w14:textFill>
            <w14:solidFill>
              <w14:schemeClr w14:val="tx1"/>
            </w14:solidFill>
          </w14:textFill>
        </w:rPr>
      </w:pPr>
      <w:r>
        <w:rPr>
          <w:rFonts w:cs="Times New Roman" w:eastAsiaTheme="minorEastAsia"/>
          <w:i/>
          <w:iCs/>
          <w:color w:val="000000" w:themeColor="text1"/>
          <w:kern w:val="2"/>
          <w:sz w:val="21"/>
          <w:szCs w:val="21"/>
          <w:vertAlign w:val="superscript"/>
          <w14:textFill>
            <w14:solidFill>
              <w14:schemeClr w14:val="tx1"/>
            </w14:solidFill>
          </w14:textFill>
        </w:rPr>
        <w:t>a</w:t>
      </w:r>
      <w:r>
        <w:rPr>
          <w:rFonts w:hint="eastAsia" w:cs="Times New Roman" w:eastAsiaTheme="minorEastAsia"/>
          <w:i/>
          <w:iCs/>
          <w:color w:val="000000" w:themeColor="text1"/>
          <w:kern w:val="2"/>
          <w:sz w:val="21"/>
          <w:szCs w:val="21"/>
          <w:lang w:val="en-US" w:eastAsia="zh-CN"/>
          <w14:textFill>
            <w14:solidFill>
              <w14:schemeClr w14:val="tx1"/>
            </w14:solidFill>
          </w14:textFill>
        </w:rPr>
        <w:t>N</w:t>
      </w:r>
      <w:r>
        <w:rPr>
          <w:rFonts w:cs="Times New Roman" w:eastAsiaTheme="minorEastAsia"/>
          <w:i/>
          <w:iCs/>
          <w:color w:val="000000" w:themeColor="text1"/>
          <w:kern w:val="2"/>
          <w:sz w:val="21"/>
          <w:szCs w:val="21"/>
          <w14:textFill>
            <w14:solidFill>
              <w14:schemeClr w14:val="tx1"/>
            </w14:solidFill>
          </w14:textFill>
        </w:rPr>
        <w:t>ational</w:t>
      </w:r>
      <w:r>
        <w:rPr>
          <w:rFonts w:hint="eastAsia" w:cs="Times New Roman" w:eastAsiaTheme="minorEastAsia"/>
          <w:i/>
          <w:iCs/>
          <w:color w:val="000000" w:themeColor="text1"/>
          <w:kern w:val="2"/>
          <w:sz w:val="21"/>
          <w:szCs w:val="21"/>
          <w:lang w:val="en-US" w:eastAsia="zh-CN"/>
          <w14:textFill>
            <w14:solidFill>
              <w14:schemeClr w14:val="tx1"/>
            </w14:solidFill>
          </w14:textFill>
        </w:rPr>
        <w:t xml:space="preserve"> </w:t>
      </w:r>
      <w:r>
        <w:rPr>
          <w:rFonts w:cs="Times New Roman" w:eastAsiaTheme="minorEastAsia"/>
          <w:i/>
          <w:iCs/>
          <w:color w:val="000000" w:themeColor="text1"/>
          <w:kern w:val="2"/>
          <w:sz w:val="21"/>
          <w:szCs w:val="21"/>
          <w14:textFill>
            <w14:solidFill>
              <w14:schemeClr w14:val="tx1"/>
            </w14:solidFill>
          </w14:textFill>
        </w:rPr>
        <w:t>Laboratory on Adaptive Optics, Chengdu 610209, China</w:t>
      </w:r>
    </w:p>
    <w:p w14:paraId="1A48DD9C">
      <w:pPr>
        <w:widowControl w:val="0"/>
        <w:spacing w:line="240" w:lineRule="auto"/>
        <w:ind w:firstLine="0" w:firstLineChars="0"/>
        <w:rPr>
          <w:rFonts w:cs="Times New Roman" w:eastAsiaTheme="minorEastAsia"/>
          <w:i/>
          <w:iCs/>
          <w:color w:val="000000" w:themeColor="text1"/>
          <w:kern w:val="2"/>
          <w:sz w:val="21"/>
          <w:szCs w:val="21"/>
          <w14:textFill>
            <w14:solidFill>
              <w14:schemeClr w14:val="tx1"/>
            </w14:solidFill>
          </w14:textFill>
        </w:rPr>
      </w:pPr>
      <w:r>
        <w:rPr>
          <w:rFonts w:hint="eastAsia" w:cs="Times New Roman" w:eastAsiaTheme="minorEastAsia"/>
          <w:i/>
          <w:iCs/>
          <w:color w:val="000000" w:themeColor="text1"/>
          <w:kern w:val="2"/>
          <w:sz w:val="21"/>
          <w:szCs w:val="21"/>
          <w:vertAlign w:val="superscript"/>
          <w14:textFill>
            <w14:solidFill>
              <w14:schemeClr w14:val="tx1"/>
            </w14:solidFill>
          </w14:textFill>
        </w:rPr>
        <w:t>b</w:t>
      </w:r>
      <w:r>
        <w:rPr>
          <w:rFonts w:cs="Times New Roman" w:eastAsiaTheme="minorEastAsia"/>
          <w:i/>
          <w:iCs/>
          <w:color w:val="000000" w:themeColor="text1"/>
          <w:kern w:val="2"/>
          <w:sz w:val="21"/>
          <w:szCs w:val="21"/>
          <w14:textFill>
            <w14:solidFill>
              <w14:schemeClr w14:val="tx1"/>
            </w14:solidFill>
          </w14:textFill>
        </w:rPr>
        <w:t>University of Chinese Academy of Sciences, Beijing 101408, China</w:t>
      </w:r>
    </w:p>
    <w:p w14:paraId="786A7426">
      <w:pPr>
        <w:widowControl w:val="0"/>
        <w:spacing w:line="240" w:lineRule="auto"/>
        <w:ind w:firstLine="0" w:firstLineChars="0"/>
        <w:rPr>
          <w:rFonts w:cs="Times New Roman" w:eastAsiaTheme="minorEastAsia"/>
          <w:i/>
          <w:iCs/>
          <w:color w:val="000000" w:themeColor="text1"/>
          <w:kern w:val="2"/>
          <w:sz w:val="21"/>
          <w:szCs w:val="21"/>
          <w14:textFill>
            <w14:solidFill>
              <w14:schemeClr w14:val="tx1"/>
            </w14:solidFill>
          </w14:textFill>
        </w:rPr>
      </w:pPr>
      <w:r>
        <w:rPr>
          <w:rFonts w:cs="Times New Roman" w:eastAsiaTheme="minorEastAsia"/>
          <w:i/>
          <w:iCs/>
          <w:color w:val="000000" w:themeColor="text1"/>
          <w:kern w:val="2"/>
          <w:sz w:val="21"/>
          <w:szCs w:val="21"/>
          <w:vertAlign w:val="superscript"/>
          <w14:textFill>
            <w14:solidFill>
              <w14:schemeClr w14:val="tx1"/>
            </w14:solidFill>
          </w14:textFill>
        </w:rPr>
        <w:t>c</w:t>
      </w:r>
      <w:r>
        <w:rPr>
          <w:rFonts w:cs="Times New Roman" w:eastAsiaTheme="minorEastAsia"/>
          <w:i/>
          <w:iCs/>
          <w:color w:val="000000" w:themeColor="text1"/>
          <w:kern w:val="2"/>
          <w:sz w:val="21"/>
          <w:szCs w:val="21"/>
          <w14:textFill>
            <w14:solidFill>
              <w14:schemeClr w14:val="tx1"/>
            </w14:solidFill>
          </w14:textFill>
        </w:rPr>
        <w:t>Institute of Optics and Electronics, Chinese Academy of Sciences, Chengdu 610209, China</w:t>
      </w:r>
    </w:p>
    <w:p w14:paraId="26F6C4C6">
      <w:pPr>
        <w:widowControl w:val="0"/>
        <w:spacing w:line="240" w:lineRule="auto"/>
        <w:ind w:firstLine="0" w:firstLineChars="0"/>
        <w:rPr>
          <w:rFonts w:cs="Times New Roman" w:eastAsiaTheme="minorEastAsia"/>
          <w:i/>
          <w:iCs/>
          <w:color w:val="000000" w:themeColor="text1"/>
          <w:kern w:val="2"/>
          <w:sz w:val="21"/>
          <w:szCs w:val="21"/>
          <w14:textFill>
            <w14:solidFill>
              <w14:schemeClr w14:val="tx1"/>
            </w14:solidFill>
          </w14:textFill>
        </w:rPr>
      </w:pPr>
      <w:r>
        <w:rPr>
          <w:rFonts w:cs="Times New Roman" w:eastAsiaTheme="minorEastAsia"/>
          <w:i/>
          <w:iCs/>
          <w:color w:val="000000" w:themeColor="text1"/>
          <w:kern w:val="2"/>
          <w:sz w:val="21"/>
          <w:szCs w:val="21"/>
          <w:vertAlign w:val="superscript"/>
          <w14:textFill>
            <w14:solidFill>
              <w14:schemeClr w14:val="tx1"/>
            </w14:solidFill>
          </w14:textFill>
        </w:rPr>
        <w:t>d</w:t>
      </w:r>
      <w:r>
        <w:rPr>
          <w:rFonts w:cs="Times New Roman" w:eastAsiaTheme="minorEastAsia"/>
          <w:i/>
          <w:iCs/>
          <w:color w:val="000000" w:themeColor="text1"/>
          <w:kern w:val="2"/>
          <w:sz w:val="21"/>
          <w:szCs w:val="21"/>
          <w14:textFill>
            <w14:solidFill>
              <w14:schemeClr w14:val="tx1"/>
            </w14:solidFill>
          </w14:textFill>
        </w:rPr>
        <w:t>The Key Laboratory on Adaptive Optics, Chinese Academy of Sciences, Chengdu 610209, China</w:t>
      </w:r>
    </w:p>
    <w:p w14:paraId="63E7BA37">
      <w:pPr>
        <w:widowControl w:val="0"/>
        <w:spacing w:line="240" w:lineRule="auto"/>
        <w:ind w:firstLine="0" w:firstLineChars="0"/>
        <w:rPr>
          <w:rFonts w:cs="Times New Roman" w:eastAsiaTheme="minorEastAsia"/>
          <w:i/>
          <w:iCs/>
          <w:color w:val="000000" w:themeColor="text1"/>
          <w:kern w:val="2"/>
          <w:sz w:val="21"/>
          <w:szCs w:val="21"/>
          <w14:textFill>
            <w14:solidFill>
              <w14:schemeClr w14:val="tx1"/>
            </w14:solidFill>
          </w14:textFill>
        </w:rPr>
      </w:pPr>
      <w:r>
        <w:rPr>
          <w:rFonts w:hint="eastAsia" w:cs="Times New Roman" w:eastAsiaTheme="minorEastAsia"/>
          <w:i/>
          <w:iCs/>
          <w:color w:val="000000" w:themeColor="text1"/>
          <w:kern w:val="2"/>
          <w:sz w:val="21"/>
          <w:szCs w:val="21"/>
          <w:vertAlign w:val="superscript"/>
          <w14:textFill>
            <w14:solidFill>
              <w14:schemeClr w14:val="tx1"/>
            </w14:solidFill>
          </w14:textFill>
        </w:rPr>
        <w:t>e</w:t>
      </w:r>
      <w:r>
        <w:rPr>
          <w:rFonts w:hint="eastAsia" w:cs="Times New Roman" w:eastAsiaTheme="minorEastAsia"/>
          <w:i/>
          <w:iCs/>
          <w:color w:val="000000" w:themeColor="text1"/>
          <w:kern w:val="2"/>
          <w:sz w:val="21"/>
          <w:szCs w:val="21"/>
          <w14:textFill>
            <w14:solidFill>
              <w14:schemeClr w14:val="tx1"/>
            </w14:solidFill>
          </w14:textFill>
        </w:rPr>
        <w:t>Departanmento de Astrof</w:t>
      </w:r>
      <w:r>
        <w:rPr>
          <w:rFonts w:cs="Times New Roman" w:eastAsiaTheme="minorEastAsia"/>
          <w:i/>
          <w:iCs/>
          <w:color w:val="000000" w:themeColor="text1"/>
          <w:kern w:val="2"/>
          <w:sz w:val="21"/>
          <w:szCs w:val="21"/>
          <w14:textFill>
            <w14:solidFill>
              <w14:schemeClr w14:val="tx1"/>
            </w14:solidFill>
          </w14:textFill>
        </w:rPr>
        <w:t>í</w:t>
      </w:r>
      <w:r>
        <w:rPr>
          <w:rFonts w:hint="eastAsia" w:cs="Times New Roman" w:eastAsiaTheme="minorEastAsia"/>
          <w:i/>
          <w:iCs/>
          <w:color w:val="000000" w:themeColor="text1"/>
          <w:kern w:val="2"/>
          <w:sz w:val="21"/>
          <w:szCs w:val="21"/>
          <w14:textFill>
            <w14:solidFill>
              <w14:schemeClr w14:val="tx1"/>
            </w14:solidFill>
          </w14:textFill>
        </w:rPr>
        <w:t>sica, Univ. De La Laguna, La Laguna, Tenerife, E-38025, Spain</w:t>
      </w:r>
    </w:p>
    <w:p w14:paraId="4BDFCB76">
      <w:pPr>
        <w:widowControl w:val="0"/>
        <w:spacing w:line="240" w:lineRule="auto"/>
        <w:ind w:firstLine="0" w:firstLineChars="0"/>
        <w:rPr>
          <w:rFonts w:cs="Times New Roman" w:eastAsiaTheme="minorEastAsia"/>
          <w:i/>
          <w:iCs/>
          <w:color w:val="000000" w:themeColor="text1"/>
          <w:kern w:val="2"/>
          <w:sz w:val="21"/>
          <w:szCs w:val="21"/>
          <w14:textFill>
            <w14:solidFill>
              <w14:schemeClr w14:val="tx1"/>
            </w14:solidFill>
          </w14:textFill>
        </w:rPr>
      </w:pPr>
      <w:r>
        <w:rPr>
          <w:rFonts w:hint="eastAsia" w:cs="Times New Roman" w:eastAsiaTheme="minorEastAsia"/>
          <w:i/>
          <w:iCs/>
          <w:color w:val="000000" w:themeColor="text1"/>
          <w:kern w:val="2"/>
          <w:sz w:val="21"/>
          <w:szCs w:val="21"/>
          <w:vertAlign w:val="superscript"/>
          <w14:textFill>
            <w14:solidFill>
              <w14:schemeClr w14:val="tx1"/>
            </w14:solidFill>
          </w14:textFill>
        </w:rPr>
        <w:t>f</w:t>
      </w:r>
      <w:r>
        <w:rPr>
          <w:rFonts w:hint="eastAsia" w:cs="Times New Roman" w:eastAsiaTheme="minorEastAsia"/>
          <w:i/>
          <w:iCs/>
          <w:color w:val="000000" w:themeColor="text1"/>
          <w:kern w:val="2"/>
          <w:sz w:val="21"/>
          <w:szCs w:val="21"/>
          <w14:textFill>
            <w14:solidFill>
              <w14:schemeClr w14:val="tx1"/>
            </w14:solidFill>
          </w14:textFill>
        </w:rPr>
        <w:t>Instituto de Astrof</w:t>
      </w:r>
      <w:r>
        <w:rPr>
          <w:rFonts w:cs="Times New Roman" w:eastAsiaTheme="minorEastAsia"/>
          <w:i/>
          <w:iCs/>
          <w:color w:val="000000" w:themeColor="text1"/>
          <w:kern w:val="2"/>
          <w:sz w:val="21"/>
          <w:szCs w:val="21"/>
          <w14:textFill>
            <w14:solidFill>
              <w14:schemeClr w14:val="tx1"/>
            </w14:solidFill>
          </w14:textFill>
        </w:rPr>
        <w:t>í</w:t>
      </w:r>
      <w:r>
        <w:rPr>
          <w:rFonts w:hint="eastAsia" w:cs="Times New Roman" w:eastAsiaTheme="minorEastAsia"/>
          <w:i/>
          <w:iCs/>
          <w:color w:val="000000" w:themeColor="text1"/>
          <w:kern w:val="2"/>
          <w:sz w:val="21"/>
          <w:szCs w:val="21"/>
          <w14:textFill>
            <w14:solidFill>
              <w14:schemeClr w14:val="tx1"/>
            </w14:solidFill>
          </w14:textFill>
        </w:rPr>
        <w:t>sica de Canarias, E-38025, La Laguna, Tenerife, Spain</w:t>
      </w:r>
    </w:p>
    <w:p w14:paraId="638D54E4">
      <w:pPr>
        <w:widowControl w:val="0"/>
        <w:spacing w:line="240" w:lineRule="auto"/>
        <w:ind w:firstLine="0" w:firstLineChars="0"/>
        <w:rPr>
          <w:rFonts w:cs="Times New Roman" w:eastAsiaTheme="minorEastAsia"/>
          <w:i/>
          <w:iCs/>
          <w:color w:val="000000" w:themeColor="text1"/>
          <w:kern w:val="2"/>
          <w:sz w:val="21"/>
          <w:szCs w:val="21"/>
          <w14:textFill>
            <w14:solidFill>
              <w14:schemeClr w14:val="tx1"/>
            </w14:solidFill>
          </w14:textFill>
        </w:rPr>
      </w:pPr>
      <w:r>
        <w:rPr>
          <w:rFonts w:hint="eastAsia" w:cs="Times New Roman" w:eastAsiaTheme="minorEastAsia"/>
          <w:i/>
          <w:iCs/>
          <w:color w:val="000000" w:themeColor="text1"/>
          <w:kern w:val="2"/>
          <w:sz w:val="21"/>
          <w:szCs w:val="21"/>
          <w:vertAlign w:val="superscript"/>
          <w14:textFill>
            <w14:solidFill>
              <w14:schemeClr w14:val="tx1"/>
            </w14:solidFill>
          </w14:textFill>
        </w:rPr>
        <w:t>g</w:t>
      </w:r>
      <w:r>
        <w:rPr>
          <w:rFonts w:cs="Times New Roman" w:eastAsiaTheme="minorEastAsia"/>
          <w:i/>
          <w:iCs/>
          <w:color w:val="000000" w:themeColor="text1"/>
          <w:kern w:val="2"/>
          <w:sz w:val="21"/>
          <w:szCs w:val="21"/>
          <w14:textFill>
            <w14:solidFill>
              <w14:schemeClr w14:val="tx1"/>
            </w14:solidFill>
          </w14:textFill>
        </w:rPr>
        <w:t>Chengdu University of Traditional Chinese Medicine, Chengdu 610075, China</w:t>
      </w:r>
    </w:p>
    <w:p w14:paraId="3FFEA5AA">
      <w:pPr>
        <w:widowControl w:val="0"/>
        <w:spacing w:line="240" w:lineRule="auto"/>
        <w:ind w:firstLine="0" w:firstLineChars="0"/>
        <w:rPr>
          <w:rFonts w:cs="Times New Roman" w:eastAsiaTheme="minorEastAsia"/>
          <w:i/>
          <w:iCs/>
          <w:color w:val="000000" w:themeColor="text1"/>
          <w:kern w:val="2"/>
          <w:sz w:val="21"/>
          <w:szCs w:val="21"/>
          <w14:textFill>
            <w14:solidFill>
              <w14:schemeClr w14:val="tx1"/>
            </w14:solidFill>
          </w14:textFill>
        </w:rPr>
      </w:pPr>
      <w:r>
        <w:rPr>
          <w:rFonts w:hint="eastAsia" w:cs="Times New Roman" w:eastAsiaTheme="minorEastAsia"/>
          <w:i/>
          <w:iCs/>
          <w:color w:val="000000" w:themeColor="text1"/>
          <w:kern w:val="2"/>
          <w:sz w:val="21"/>
          <w:szCs w:val="21"/>
          <w:vertAlign w:val="superscript"/>
          <w14:textFill>
            <w14:solidFill>
              <w14:schemeClr w14:val="tx1"/>
            </w14:solidFill>
          </w14:textFill>
        </w:rPr>
        <w:t>h</w:t>
      </w:r>
      <w:r>
        <w:rPr>
          <w:rFonts w:cs="Times New Roman" w:eastAsiaTheme="minorEastAsia"/>
          <w:i/>
          <w:iCs/>
          <w:color w:val="000000" w:themeColor="text1"/>
          <w:kern w:val="2"/>
          <w:sz w:val="21"/>
          <w:szCs w:val="21"/>
          <w14:textFill>
            <w14:solidFill>
              <w14:schemeClr w14:val="tx1"/>
            </w14:solidFill>
          </w14:textFill>
        </w:rPr>
        <w:t>Thermal Science Research Center, Shandong Institute of Advanced Technology, Jinan 250100, Shandong, China</w:t>
      </w:r>
    </w:p>
    <w:p w14:paraId="272647BF">
      <w:pPr>
        <w:widowControl w:val="0"/>
        <w:spacing w:line="240" w:lineRule="auto"/>
        <w:ind w:firstLine="0" w:firstLineChars="0"/>
        <w:rPr>
          <w:rFonts w:cs="Times New Roman" w:eastAsiaTheme="minorEastAsia"/>
          <w:i/>
          <w:iCs/>
          <w:color w:val="000000" w:themeColor="text1"/>
          <w:kern w:val="2"/>
          <w:sz w:val="21"/>
          <w:szCs w:val="21"/>
          <w14:textFill>
            <w14:solidFill>
              <w14:schemeClr w14:val="tx1"/>
            </w14:solidFill>
          </w14:textFill>
        </w:rPr>
      </w:pPr>
      <w:r>
        <w:rPr>
          <w:rFonts w:hint="eastAsia" w:cs="Times New Roman" w:eastAsiaTheme="minorEastAsia"/>
          <w:i/>
          <w:iCs/>
          <w:color w:val="000000" w:themeColor="text1"/>
          <w:kern w:val="2"/>
          <w:sz w:val="21"/>
          <w:szCs w:val="21"/>
          <w:vertAlign w:val="superscript"/>
          <w14:textFill>
            <w14:solidFill>
              <w14:schemeClr w14:val="tx1"/>
            </w14:solidFill>
          </w14:textFill>
        </w:rPr>
        <w:t>i</w:t>
      </w:r>
      <w:r>
        <w:rPr>
          <w:rFonts w:hint="eastAsia" w:cs="Times New Roman" w:eastAsiaTheme="minorEastAsia"/>
          <w:i/>
          <w:iCs/>
          <w:color w:val="000000" w:themeColor="text1"/>
          <w:kern w:val="2"/>
          <w:sz w:val="21"/>
          <w:szCs w:val="21"/>
          <w14:textFill>
            <w14:solidFill>
              <w14:schemeClr w14:val="tx1"/>
            </w14:solidFill>
          </w14:textFill>
        </w:rPr>
        <w:t>Joint Laboratory for Extreme Conditions Matter Properties, Southwest University of Science and Technology, Mianyang 621010, China</w:t>
      </w:r>
    </w:p>
    <w:p w14:paraId="029B2DD4">
      <w:pPr>
        <w:widowControl w:val="0"/>
        <w:spacing w:line="240" w:lineRule="auto"/>
        <w:ind w:firstLine="0" w:firstLineChars="0"/>
        <w:rPr>
          <w:rFonts w:cs="Times New Roman" w:eastAsiaTheme="minorEastAsia"/>
          <w:i/>
          <w:iCs/>
          <w:color w:val="000000" w:themeColor="text1"/>
          <w:kern w:val="2"/>
          <w:sz w:val="21"/>
          <w:szCs w:val="21"/>
          <w14:textFill>
            <w14:solidFill>
              <w14:schemeClr w14:val="tx1"/>
            </w14:solidFill>
          </w14:textFill>
        </w:rPr>
      </w:pPr>
    </w:p>
    <w:p w14:paraId="1639BD6A">
      <w:pPr>
        <w:widowControl w:val="0"/>
        <w:spacing w:line="240" w:lineRule="auto"/>
        <w:ind w:firstLine="0" w:firstLineChars="0"/>
        <w:jc w:val="left"/>
        <w:rPr>
          <w:rFonts w:cs="Times New Roman" w:eastAsiaTheme="minorEastAsia"/>
          <w:i/>
          <w:iCs/>
          <w:color w:val="000000" w:themeColor="text1"/>
          <w:kern w:val="2"/>
          <w:sz w:val="21"/>
          <w:szCs w:val="21"/>
          <w14:textFill>
            <w14:solidFill>
              <w14:schemeClr w14:val="tx1"/>
            </w14:solidFill>
          </w14:textFill>
        </w:rPr>
      </w:pPr>
      <w:r>
        <w:rPr>
          <w:rFonts w:cs="Times New Roman" w:eastAsiaTheme="minorEastAsia"/>
          <w:i/>
          <w:iCs/>
          <w:color w:val="000000" w:themeColor="text1"/>
          <w:kern w:val="2"/>
          <w:sz w:val="21"/>
          <w:szCs w:val="21"/>
          <w:vertAlign w:val="superscript"/>
          <w14:textFill>
            <w14:solidFill>
              <w14:schemeClr w14:val="tx1"/>
            </w14:solidFill>
          </w14:textFill>
        </w:rPr>
        <w:t>*</w:t>
      </w:r>
      <w:r>
        <w:rPr>
          <w:rFonts w:cs="Times New Roman" w:eastAsiaTheme="minorEastAsia"/>
          <w:i/>
          <w:iCs/>
          <w:color w:val="000000" w:themeColor="text1"/>
          <w:kern w:val="2"/>
          <w:sz w:val="21"/>
          <w:szCs w:val="21"/>
          <w14:textFill>
            <w14:solidFill>
              <w14:schemeClr w14:val="tx1"/>
            </w14:solidFill>
          </w14:textFill>
        </w:rPr>
        <w:t xml:space="preserve">Corresponding authors: </w:t>
      </w:r>
      <w:r>
        <w:rPr>
          <w:rFonts w:hint="eastAsia" w:cs="Times New Roman" w:eastAsiaTheme="minorEastAsia"/>
          <w:i/>
          <w:iCs/>
          <w:color w:val="000000" w:themeColor="text1"/>
          <w:kern w:val="2"/>
          <w:sz w:val="21"/>
          <w:szCs w:val="21"/>
          <w14:textFill>
            <w14:solidFill>
              <w14:schemeClr w14:val="tx1"/>
            </w14:solidFill>
          </w14:textFill>
        </w:rPr>
        <w:t>Naiting Gu(</w:t>
      </w:r>
      <w:r>
        <w:rPr>
          <w:rFonts w:cs="Times New Roman" w:eastAsiaTheme="minorEastAsia"/>
          <w:i/>
          <w:iCs/>
          <w:color w:val="000000" w:themeColor="text1"/>
          <w:kern w:val="2"/>
          <w:sz w:val="21"/>
          <w:szCs w:val="21"/>
          <w:u w:val="single"/>
          <w14:textFill>
            <w14:solidFill>
              <w14:schemeClr w14:val="tx1"/>
            </w14:solidFill>
          </w14:textFill>
        </w:rPr>
        <w:t>mailto:</w:t>
      </w:r>
      <w:r>
        <w:rPr>
          <w:rFonts w:hint="eastAsia" w:cs="Times New Roman" w:eastAsiaTheme="minorEastAsia"/>
          <w:i/>
          <w:iCs/>
          <w:color w:val="000000" w:themeColor="text1"/>
          <w:kern w:val="2"/>
          <w:sz w:val="21"/>
          <w:szCs w:val="21"/>
          <w14:textFill>
            <w14:solidFill>
              <w14:schemeClr w14:val="tx1"/>
            </w14:solidFill>
          </w14:textFill>
        </w:rPr>
        <w:t xml:space="preserve">gnt7328@163.com), </w:t>
      </w:r>
      <w:r>
        <w:rPr>
          <w:rFonts w:cs="Times New Roman" w:eastAsiaTheme="minorEastAsia"/>
          <w:i/>
          <w:iCs/>
          <w:color w:val="000000" w:themeColor="text1"/>
          <w:kern w:val="2"/>
          <w:sz w:val="21"/>
          <w:szCs w:val="21"/>
          <w14:textFill>
            <w14:solidFill>
              <w14:schemeClr w14:val="tx1"/>
            </w14:solidFill>
          </w14:textFill>
        </w:rPr>
        <w:t>Xiaohu Wu(</w:t>
      </w:r>
      <w:r>
        <w:fldChar w:fldCharType="begin"/>
      </w:r>
      <w:r>
        <w:instrText xml:space="preserve"> HYPERLINK "mailto:xiaohu.wu@iat.cn" </w:instrText>
      </w:r>
      <w:r>
        <w:fldChar w:fldCharType="separate"/>
      </w:r>
      <w:r>
        <w:rPr>
          <w:rFonts w:cs="Times New Roman"/>
          <w:i/>
          <w:iCs/>
          <w:color w:val="000000" w:themeColor="text1"/>
          <w:sz w:val="21"/>
          <w:szCs w:val="21"/>
          <w:u w:val="single"/>
          <w14:textFill>
            <w14:solidFill>
              <w14:schemeClr w14:val="tx1"/>
            </w14:solidFill>
          </w14:textFill>
        </w:rPr>
        <w:t>xiaohu.wu@iat.cn</w:t>
      </w:r>
      <w:r>
        <w:rPr>
          <w:rFonts w:cs="Times New Roman"/>
          <w:i/>
          <w:iCs/>
          <w:color w:val="000000" w:themeColor="text1"/>
          <w:sz w:val="21"/>
          <w:szCs w:val="21"/>
          <w:u w:val="single"/>
          <w14:textFill>
            <w14:solidFill>
              <w14:schemeClr w14:val="tx1"/>
            </w14:solidFill>
          </w14:textFill>
        </w:rPr>
        <w:fldChar w:fldCharType="end"/>
      </w:r>
      <w:r>
        <w:rPr>
          <w:rFonts w:cs="Times New Roman" w:eastAsiaTheme="minorEastAsia"/>
          <w:i/>
          <w:iCs/>
          <w:color w:val="000000" w:themeColor="text1"/>
          <w:kern w:val="2"/>
          <w:sz w:val="21"/>
          <w:szCs w:val="21"/>
          <w14:textFill>
            <w14:solidFill>
              <w14:schemeClr w14:val="tx1"/>
            </w14:solidFill>
          </w14:textFill>
        </w:rPr>
        <w:t>)</w:t>
      </w:r>
      <w:r>
        <w:rPr>
          <w:rFonts w:hint="eastAsia" w:cs="Times New Roman" w:eastAsiaTheme="minorEastAsia"/>
          <w:i/>
          <w:iCs/>
          <w:color w:val="000000" w:themeColor="text1"/>
          <w:kern w:val="2"/>
          <w:sz w:val="21"/>
          <w:szCs w:val="21"/>
          <w14:textFill>
            <w14:solidFill>
              <w14:schemeClr w14:val="tx1"/>
            </w14:solidFill>
          </w14:textFill>
        </w:rPr>
        <w:t xml:space="preserve">, and </w:t>
      </w:r>
      <w:r>
        <w:rPr>
          <w:rFonts w:cs="Times New Roman" w:eastAsiaTheme="minorEastAsia"/>
          <w:i/>
          <w:iCs/>
          <w:color w:val="000000" w:themeColor="text1"/>
          <w:kern w:val="2"/>
          <w:sz w:val="21"/>
          <w:szCs w:val="21"/>
          <w14:textFill>
            <w14:solidFill>
              <w14:schemeClr w14:val="tx1"/>
            </w14:solidFill>
          </w14:textFill>
        </w:rPr>
        <w:t>Linhai Huang(</w:t>
      </w:r>
      <w:r>
        <w:fldChar w:fldCharType="begin"/>
      </w:r>
      <w:r>
        <w:instrText xml:space="preserve"> HYPERLINK "mailto:hlhai@ioe.ac.cn" </w:instrText>
      </w:r>
      <w:r>
        <w:fldChar w:fldCharType="separate"/>
      </w:r>
      <w:r>
        <w:rPr>
          <w:rFonts w:cs="Times New Roman" w:eastAsiaTheme="minorEastAsia"/>
          <w:i/>
          <w:iCs/>
          <w:color w:val="000000" w:themeColor="text1"/>
          <w:kern w:val="2"/>
          <w:sz w:val="21"/>
          <w:szCs w:val="21"/>
          <w:u w:val="single"/>
          <w14:textFill>
            <w14:solidFill>
              <w14:schemeClr w14:val="tx1"/>
            </w14:solidFill>
          </w14:textFill>
        </w:rPr>
        <w:t>hlhai@ioe.ac.cn</w:t>
      </w:r>
      <w:r>
        <w:rPr>
          <w:rFonts w:cs="Times New Roman" w:eastAsiaTheme="minorEastAsia"/>
          <w:i/>
          <w:iCs/>
          <w:color w:val="000000" w:themeColor="text1"/>
          <w:kern w:val="2"/>
          <w:sz w:val="21"/>
          <w:szCs w:val="21"/>
          <w:u w:val="single"/>
          <w14:textFill>
            <w14:solidFill>
              <w14:schemeClr w14:val="tx1"/>
            </w14:solidFill>
          </w14:textFill>
        </w:rPr>
        <w:fldChar w:fldCharType="end"/>
      </w:r>
      <w:r>
        <w:rPr>
          <w:rFonts w:cs="Times New Roman" w:eastAsiaTheme="minorEastAsia"/>
          <w:i/>
          <w:iCs/>
          <w:color w:val="000000" w:themeColor="text1"/>
          <w:kern w:val="2"/>
          <w:sz w:val="21"/>
          <w:szCs w:val="21"/>
          <w14:textFill>
            <w14:solidFill>
              <w14:schemeClr w14:val="tx1"/>
            </w14:solidFill>
          </w14:textFill>
        </w:rPr>
        <w:t>)</w:t>
      </w:r>
      <w:bookmarkEnd w:id="1"/>
    </w:p>
    <w:p w14:paraId="4024431B">
      <w:pPr>
        <w:spacing w:line="240" w:lineRule="auto"/>
        <w:ind w:firstLine="0" w:firstLineChars="0"/>
        <w:jc w:val="left"/>
        <w:rPr>
          <w:rFonts w:cs="Times New Roman"/>
          <w:color w:val="000000" w:themeColor="text1"/>
          <w14:textFill>
            <w14:solidFill>
              <w14:schemeClr w14:val="tx1"/>
            </w14:solidFill>
          </w14:textFill>
        </w:rPr>
      </w:pPr>
      <w:r>
        <w:rPr>
          <w:color w:val="000000" w:themeColor="text1"/>
          <w14:textFill>
            <w14:solidFill>
              <w14:schemeClr w14:val="tx1"/>
            </w14:solidFill>
          </w14:textFill>
        </w:rPr>
        <w:br w:type="page"/>
      </w:r>
    </w:p>
    <w:p w14:paraId="4A2F4B1C">
      <w:pPr>
        <w:spacing w:line="240" w:lineRule="auto"/>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A</w:t>
      </w:r>
      <w:r>
        <w:rPr>
          <w:color w:val="000000" w:themeColor="text1"/>
          <w14:textFill>
            <w14:solidFill>
              <w14:schemeClr w14:val="tx1"/>
            </w14:solidFill>
          </w14:textFill>
        </w:rPr>
        <w:t xml:space="preserve"> 600 mm </w:t>
      </w:r>
      <w:r>
        <w:rPr>
          <w:rFonts w:hint="eastAsia"/>
          <w:color w:val="000000" w:themeColor="text1"/>
          <w:lang w:val="en-US" w:eastAsia="zh-CN"/>
          <w14:textFill>
            <w14:solidFill>
              <w14:schemeClr w14:val="tx1"/>
            </w14:solidFill>
          </w14:textFill>
        </w:rPr>
        <w:t xml:space="preserve">prototype </w:t>
      </w:r>
      <w:r>
        <w:rPr>
          <w:color w:val="000000" w:themeColor="text1"/>
          <w14:textFill>
            <w14:solidFill>
              <w14:schemeClr w14:val="tx1"/>
            </w14:solidFill>
          </w14:textFill>
        </w:rPr>
        <w:t>system</w:t>
      </w:r>
      <w:r>
        <w:rPr>
          <w:rFonts w:hint="eastAsia"/>
          <w:color w:val="000000" w:themeColor="text1"/>
          <w:lang w:val="en-US" w:eastAsia="zh-CN"/>
          <w14:textFill>
            <w14:solidFill>
              <w14:schemeClr w14:val="tx1"/>
            </w14:solidFill>
          </w14:textFill>
        </w:rPr>
        <w:t xml:space="preserve"> of </w:t>
      </w:r>
      <w:r>
        <w:rPr>
          <w:color w:val="000000" w:themeColor="text1"/>
          <w14:textFill>
            <w14:solidFill>
              <w14:schemeClr w14:val="tx1"/>
            </w14:solidFill>
          </w14:textFill>
        </w:rPr>
        <w:t xml:space="preserve">solar adaptive optics telescope </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SAOT</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 xml:space="preserve"> mainly aims to verify the proposed method and design. </w:t>
      </w:r>
      <w:r>
        <w:rPr>
          <w:rFonts w:hint="eastAsia"/>
          <w:color w:val="000000" w:themeColor="text1"/>
          <w14:textFill>
            <w14:solidFill>
              <w14:schemeClr w14:val="tx1"/>
            </w14:solidFill>
          </w14:textFill>
        </w:rPr>
        <w:t xml:space="preserve">The detailed system </w:t>
      </w:r>
      <w:r>
        <w:rPr>
          <w:color w:val="000000" w:themeColor="text1"/>
          <w14:textFill>
            <w14:solidFill>
              <w14:schemeClr w14:val="tx1"/>
            </w14:solidFill>
          </w14:textFill>
        </w:rPr>
        <w:t xml:space="preserve">parameters of 600 mm SAOT are shown in Table </w:t>
      </w:r>
      <w:r>
        <w:rPr>
          <w:rFonts w:hint="eastAsia"/>
          <w:color w:val="000000" w:themeColor="text1"/>
          <w14:textFill>
            <w14:solidFill>
              <w14:schemeClr w14:val="tx1"/>
            </w14:solidFill>
          </w14:textFill>
        </w:rPr>
        <w:t>S</w:t>
      </w:r>
      <w:r>
        <w:rPr>
          <w:color w:val="000000" w:themeColor="text1"/>
          <w14:textFill>
            <w14:solidFill>
              <w14:schemeClr w14:val="tx1"/>
            </w14:solidFill>
          </w14:textFill>
        </w:rPr>
        <w:t>1.</w:t>
      </w:r>
    </w:p>
    <w:p w14:paraId="13614505">
      <w:pPr>
        <w:spacing w:line="240" w:lineRule="auto"/>
        <w:ind w:firstLine="0" w:firstLineChars="0"/>
        <w:jc w:val="center"/>
        <w:rPr>
          <w:color w:val="000000" w:themeColor="text1"/>
          <w14:textFill>
            <w14:solidFill>
              <w14:schemeClr w14:val="tx1"/>
            </w14:solidFill>
          </w14:textFill>
        </w:rPr>
      </w:pPr>
      <w:r>
        <w:rPr>
          <w:rFonts w:hint="eastAsia"/>
          <w:b/>
          <w:bCs/>
          <w:color w:val="000000" w:themeColor="text1"/>
          <w14:textFill>
            <w14:solidFill>
              <w14:schemeClr w14:val="tx1"/>
            </w14:solidFill>
          </w14:textFill>
        </w:rPr>
        <w:t>Table S</w:t>
      </w:r>
      <w:r>
        <w:rPr>
          <w:b/>
          <w:bCs/>
          <w:color w:val="000000" w:themeColor="text1"/>
          <w14:textFill>
            <w14:solidFill>
              <w14:schemeClr w14:val="tx1"/>
            </w14:solidFill>
          </w14:textFill>
        </w:rPr>
        <w:fldChar w:fldCharType="begin"/>
      </w:r>
      <w:r>
        <w:rPr>
          <w:b/>
          <w:bCs/>
          <w:color w:val="000000" w:themeColor="text1"/>
          <w14:textFill>
            <w14:solidFill>
              <w14:schemeClr w14:val="tx1"/>
            </w14:solidFill>
          </w14:textFill>
        </w:rPr>
        <w:instrText xml:space="preserve"> SEQ 表 \* ARABIC </w:instrText>
      </w:r>
      <w:r>
        <w:rPr>
          <w:b/>
          <w:bCs/>
          <w:color w:val="000000" w:themeColor="text1"/>
          <w14:textFill>
            <w14:solidFill>
              <w14:schemeClr w14:val="tx1"/>
            </w14:solidFill>
          </w14:textFill>
        </w:rPr>
        <w:fldChar w:fldCharType="separate"/>
      </w:r>
      <w:r>
        <w:rPr>
          <w:b/>
          <w:bCs/>
          <w:color w:val="000000" w:themeColor="text1"/>
          <w14:textFill>
            <w14:solidFill>
              <w14:schemeClr w14:val="tx1"/>
            </w14:solidFill>
          </w14:textFill>
        </w:rPr>
        <w:t>1</w:t>
      </w:r>
      <w:r>
        <w:rPr>
          <w:b/>
          <w:bCs/>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 xml:space="preserve"> System parameters of the 600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mm </w:t>
      </w:r>
      <w:r>
        <w:rPr>
          <w:rFonts w:hint="eastAsia"/>
          <w:color w:val="000000" w:themeColor="text1"/>
          <w:lang w:val="en-US" w:eastAsia="zh-CN"/>
          <w14:textFill>
            <w14:solidFill>
              <w14:schemeClr w14:val="tx1"/>
            </w14:solidFill>
          </w14:textFill>
        </w:rPr>
        <w:t xml:space="preserve">prototype of </w:t>
      </w:r>
      <w:r>
        <w:rPr>
          <w:rFonts w:hint="eastAsia"/>
          <w:color w:val="000000" w:themeColor="text1"/>
          <w14:textFill>
            <w14:solidFill>
              <w14:schemeClr w14:val="tx1"/>
            </w14:solidFill>
          </w14:textFill>
        </w:rPr>
        <w:t>SAOT.</w:t>
      </w:r>
    </w:p>
    <w:tbl>
      <w:tblPr>
        <w:tblStyle w:val="5"/>
        <w:tblW w:w="0" w:type="auto"/>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166"/>
        <w:gridCol w:w="4700"/>
      </w:tblGrid>
      <w:tr w14:paraId="294DFA7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66" w:type="dxa"/>
            <w:tcBorders>
              <w:top w:val="single" w:color="000000" w:sz="12" w:space="0"/>
              <w:left w:val="nil"/>
              <w:bottom w:val="single" w:color="000000" w:sz="4" w:space="0"/>
              <w:right w:val="nil"/>
              <w:tl2br w:val="nil"/>
            </w:tcBorders>
            <w:shd w:val="clear" w:color="auto" w:fill="FFFFFF"/>
            <w:vAlign w:val="center"/>
          </w:tcPr>
          <w:p w14:paraId="15A18E1C">
            <w:pPr>
              <w:spacing w:line="240" w:lineRule="auto"/>
              <w:ind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Parameter</w:t>
            </w:r>
          </w:p>
        </w:tc>
        <w:tc>
          <w:tcPr>
            <w:tcW w:w="4700" w:type="dxa"/>
            <w:tcBorders>
              <w:top w:val="single" w:color="000000" w:sz="12" w:space="0"/>
              <w:left w:val="nil"/>
              <w:bottom w:val="single" w:color="000000" w:sz="4" w:space="0"/>
              <w:right w:val="nil"/>
            </w:tcBorders>
            <w:shd w:val="clear" w:color="auto" w:fill="FFFFFF"/>
            <w:vAlign w:val="center"/>
          </w:tcPr>
          <w:p w14:paraId="71D591F9">
            <w:pPr>
              <w:spacing w:line="240" w:lineRule="auto"/>
              <w:ind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Value</w:t>
            </w:r>
          </w:p>
        </w:tc>
      </w:tr>
      <w:tr w14:paraId="0358BF3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66" w:type="dxa"/>
            <w:tcBorders>
              <w:top w:val="nil"/>
              <w:left w:val="nil"/>
              <w:bottom w:val="nil"/>
              <w:right w:val="nil"/>
            </w:tcBorders>
            <w:shd w:val="clear" w:color="auto" w:fill="FFFFFF"/>
            <w:vAlign w:val="center"/>
          </w:tcPr>
          <w:p w14:paraId="2F8D73A1">
            <w:pPr>
              <w:spacing w:line="240" w:lineRule="auto"/>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 xml:space="preserve">Optical </w:t>
            </w:r>
            <w:r>
              <w:rPr>
                <w:rFonts w:hint="eastAsia"/>
                <w:color w:val="000000" w:themeColor="text1"/>
                <w:lang w:val="en-US" w:eastAsia="zh-CN"/>
                <w14:textFill>
                  <w14:solidFill>
                    <w14:schemeClr w14:val="tx1"/>
                  </w14:solidFill>
                </w14:textFill>
              </w:rPr>
              <w:t>style</w:t>
            </w:r>
          </w:p>
        </w:tc>
        <w:tc>
          <w:tcPr>
            <w:tcW w:w="4700" w:type="dxa"/>
            <w:tcBorders>
              <w:top w:val="nil"/>
              <w:left w:val="nil"/>
              <w:bottom w:val="nil"/>
              <w:right w:val="nil"/>
            </w:tcBorders>
            <w:shd w:val="clear" w:color="auto" w:fill="FFFFFF"/>
            <w:vAlign w:val="center"/>
          </w:tcPr>
          <w:p w14:paraId="6099B244">
            <w:pPr>
              <w:spacing w:line="240" w:lineRule="auto"/>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On</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axis</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Gregorian</w:t>
            </w:r>
            <w:r>
              <w:rPr>
                <w:rFonts w:hint="eastAsia"/>
                <w:color w:val="000000" w:themeColor="text1"/>
                <w14:textFill>
                  <w14:solidFill>
                    <w14:schemeClr w14:val="tx1"/>
                  </w14:solidFill>
                </w14:textFill>
              </w:rPr>
              <w:t xml:space="preserve"> optics</w:t>
            </w:r>
          </w:p>
        </w:tc>
      </w:tr>
      <w:tr w14:paraId="5ADAD72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66" w:type="dxa"/>
            <w:tcBorders>
              <w:top w:val="nil"/>
              <w:left w:val="nil"/>
              <w:bottom w:val="nil"/>
              <w:right w:val="nil"/>
            </w:tcBorders>
            <w:shd w:val="clear" w:color="auto" w:fill="FFFFFF"/>
            <w:vAlign w:val="center"/>
          </w:tcPr>
          <w:p w14:paraId="7EAB37CD">
            <w:pPr>
              <w:spacing w:line="240" w:lineRule="auto"/>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Aperture</w:t>
            </w:r>
            <w:r>
              <w:rPr>
                <w:rFonts w:hint="eastAsia"/>
                <w:color w:val="000000" w:themeColor="text1"/>
                <w14:textFill>
                  <w14:solidFill>
                    <w14:schemeClr w14:val="tx1"/>
                  </w14:solidFill>
                </w14:textFill>
              </w:rPr>
              <w:t xml:space="preserve"> Size</w:t>
            </w:r>
          </w:p>
        </w:tc>
        <w:tc>
          <w:tcPr>
            <w:tcW w:w="4700" w:type="dxa"/>
            <w:tcBorders>
              <w:top w:val="nil"/>
              <w:left w:val="nil"/>
              <w:bottom w:val="nil"/>
              <w:right w:val="nil"/>
            </w:tcBorders>
            <w:shd w:val="clear" w:color="auto" w:fill="FFFFFF"/>
            <w:vAlign w:val="center"/>
          </w:tcPr>
          <w:p w14:paraId="0988A97D">
            <w:pPr>
              <w:spacing w:line="240" w:lineRule="auto"/>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Φ600 mm with Φ</w:t>
            </w:r>
            <w:r>
              <w:rPr>
                <w:rFonts w:hint="eastAsia"/>
                <w:color w:val="000000" w:themeColor="text1"/>
                <w14:textFill>
                  <w14:solidFill>
                    <w14:schemeClr w14:val="tx1"/>
                  </w14:solidFill>
                </w14:textFill>
              </w:rPr>
              <w:t>590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mm of </w:t>
            </w:r>
            <w:r>
              <w:rPr>
                <w:color w:val="000000" w:themeColor="text1"/>
                <w14:textFill>
                  <w14:solidFill>
                    <w14:schemeClr w14:val="tx1"/>
                  </w14:solidFill>
                </w14:textFill>
              </w:rPr>
              <w:t>clear aperture</w:t>
            </w:r>
          </w:p>
        </w:tc>
      </w:tr>
      <w:tr w14:paraId="6B337FF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66" w:type="dxa"/>
            <w:tcBorders>
              <w:top w:val="nil"/>
              <w:left w:val="nil"/>
              <w:bottom w:val="nil"/>
              <w:right w:val="nil"/>
            </w:tcBorders>
            <w:shd w:val="clear" w:color="auto" w:fill="FFFFFF"/>
            <w:vAlign w:val="center"/>
          </w:tcPr>
          <w:p w14:paraId="187DF773">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Obstruction ratio(</w:t>
            </w:r>
            <w:r>
              <w:rPr>
                <w:rFonts w:hint="eastAsia"/>
                <w:color w:val="000000" w:themeColor="text1"/>
                <w:lang w:val="en-US" w:eastAsia="zh-CN"/>
                <w14:textFill>
                  <w14:solidFill>
                    <w14:schemeClr w14:val="tx1"/>
                  </w14:solidFill>
                </w14:textFill>
              </w:rPr>
              <w:t xml:space="preserve">in </w:t>
            </w:r>
            <w:r>
              <w:rPr>
                <w:rFonts w:hint="eastAsia"/>
                <w:color w:val="000000" w:themeColor="text1"/>
                <w14:textFill>
                  <w14:solidFill>
                    <w14:schemeClr w14:val="tx1"/>
                  </w14:solidFill>
                </w14:textFill>
              </w:rPr>
              <w:t>Diameter)</w:t>
            </w:r>
          </w:p>
        </w:tc>
        <w:tc>
          <w:tcPr>
            <w:tcW w:w="4700" w:type="dxa"/>
            <w:tcBorders>
              <w:top w:val="nil"/>
              <w:left w:val="nil"/>
              <w:bottom w:val="nil"/>
              <w:right w:val="nil"/>
            </w:tcBorders>
            <w:shd w:val="clear" w:color="auto" w:fill="FFFFFF"/>
            <w:vAlign w:val="center"/>
          </w:tcPr>
          <w:p w14:paraId="338AB44B">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35.6%</w:t>
            </w:r>
          </w:p>
        </w:tc>
      </w:tr>
      <w:tr w14:paraId="77DD101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66" w:type="dxa"/>
            <w:tcBorders>
              <w:top w:val="nil"/>
              <w:left w:val="nil"/>
              <w:bottom w:val="nil"/>
              <w:right w:val="nil"/>
            </w:tcBorders>
            <w:shd w:val="clear" w:color="auto" w:fill="FFFFFF"/>
            <w:vAlign w:val="center"/>
          </w:tcPr>
          <w:p w14:paraId="31C0A442">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Field of View(FoV)</w:t>
            </w:r>
          </w:p>
        </w:tc>
        <w:tc>
          <w:tcPr>
            <w:tcW w:w="4700" w:type="dxa"/>
            <w:tcBorders>
              <w:top w:val="nil"/>
              <w:left w:val="nil"/>
              <w:bottom w:val="nil"/>
              <w:right w:val="nil"/>
            </w:tcBorders>
            <w:shd w:val="clear" w:color="auto" w:fill="FFFFFF"/>
            <w:vAlign w:val="center"/>
          </w:tcPr>
          <w:p w14:paraId="466A521D">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Φ3'</w:t>
            </w:r>
          </w:p>
        </w:tc>
      </w:tr>
      <w:tr w14:paraId="39326EC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66" w:type="dxa"/>
            <w:tcBorders>
              <w:top w:val="nil"/>
              <w:left w:val="nil"/>
              <w:bottom w:val="nil"/>
              <w:right w:val="nil"/>
            </w:tcBorders>
            <w:shd w:val="clear" w:color="auto" w:fill="FFFFFF"/>
            <w:vAlign w:val="center"/>
          </w:tcPr>
          <w:p w14:paraId="76BEBE88">
            <w:pPr>
              <w:spacing w:line="240" w:lineRule="auto"/>
              <w:ind w:firstLine="0" w:firstLineChars="0"/>
              <w:rPr>
                <w:rFonts w:hint="default" w:eastAsia="宋体"/>
                <w:color w:val="000000" w:themeColor="text1"/>
                <w:lang w:val="en-US" w:eastAsia="zh-CN"/>
                <w14:textFill>
                  <w14:solidFill>
                    <w14:schemeClr w14:val="tx1"/>
                  </w14:solidFill>
                </w14:textFill>
              </w:rPr>
            </w:pPr>
            <w:r>
              <w:rPr>
                <w:color w:val="000000" w:themeColor="text1"/>
                <w14:textFill>
                  <w14:solidFill>
                    <w14:schemeClr w14:val="tx1"/>
                  </w14:solidFill>
                </w14:textFill>
              </w:rPr>
              <w:t xml:space="preserve">Spectral </w:t>
            </w:r>
            <w:r>
              <w:rPr>
                <w:rFonts w:hint="eastAsia"/>
                <w:color w:val="000000" w:themeColor="text1"/>
                <w14:textFill>
                  <w14:solidFill>
                    <w14:schemeClr w14:val="tx1"/>
                  </w14:solidFill>
                </w14:textFill>
              </w:rPr>
              <w:t>cover</w:t>
            </w:r>
            <w:r>
              <w:rPr>
                <w:rFonts w:hint="eastAsia"/>
                <w:color w:val="000000" w:themeColor="text1"/>
                <w:lang w:val="en-US" w:eastAsia="zh-CN"/>
                <w14:textFill>
                  <w14:solidFill>
                    <w14:schemeClr w14:val="tx1"/>
                  </w14:solidFill>
                </w14:textFill>
              </w:rPr>
              <w:t>age</w:t>
            </w:r>
          </w:p>
        </w:tc>
        <w:tc>
          <w:tcPr>
            <w:tcW w:w="4700" w:type="dxa"/>
            <w:tcBorders>
              <w:top w:val="nil"/>
              <w:left w:val="nil"/>
              <w:bottom w:val="nil"/>
              <w:right w:val="nil"/>
            </w:tcBorders>
            <w:shd w:val="clear" w:color="auto" w:fill="FFFFFF"/>
            <w:vAlign w:val="center"/>
          </w:tcPr>
          <w:p w14:paraId="0EA05D92">
            <w:pPr>
              <w:spacing w:line="240" w:lineRule="auto"/>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380-2500 nm</w:t>
            </w:r>
          </w:p>
        </w:tc>
      </w:tr>
      <w:tr w14:paraId="07943DD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66" w:type="dxa"/>
            <w:tcBorders>
              <w:top w:val="nil"/>
              <w:left w:val="nil"/>
              <w:bottom w:val="nil"/>
              <w:right w:val="nil"/>
            </w:tcBorders>
            <w:shd w:val="clear" w:color="auto" w:fill="FFFFFF"/>
            <w:vAlign w:val="center"/>
          </w:tcPr>
          <w:p w14:paraId="5ECF84E1">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Shape of SDM</w:t>
            </w:r>
          </w:p>
        </w:tc>
        <w:tc>
          <w:tcPr>
            <w:tcW w:w="4700" w:type="dxa"/>
            <w:tcBorders>
              <w:top w:val="nil"/>
              <w:left w:val="nil"/>
              <w:bottom w:val="nil"/>
              <w:right w:val="nil"/>
            </w:tcBorders>
            <w:shd w:val="clear" w:color="auto" w:fill="FFFFFF"/>
            <w:vAlign w:val="center"/>
          </w:tcPr>
          <w:p w14:paraId="5A29905E">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Concave ellipsoid</w:t>
            </w:r>
          </w:p>
        </w:tc>
      </w:tr>
      <w:tr w14:paraId="07F20DA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66" w:type="dxa"/>
            <w:tcBorders>
              <w:top w:val="nil"/>
              <w:left w:val="nil"/>
              <w:bottom w:val="nil"/>
              <w:right w:val="nil"/>
            </w:tcBorders>
            <w:shd w:val="clear" w:color="auto" w:fill="FFFFFF"/>
            <w:vAlign w:val="center"/>
          </w:tcPr>
          <w:p w14:paraId="5D144255">
            <w:pPr>
              <w:spacing w:line="240" w:lineRule="auto"/>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Mount</w:t>
            </w:r>
          </w:p>
        </w:tc>
        <w:tc>
          <w:tcPr>
            <w:tcW w:w="4700" w:type="dxa"/>
            <w:tcBorders>
              <w:top w:val="nil"/>
              <w:left w:val="nil"/>
              <w:bottom w:val="nil"/>
              <w:right w:val="nil"/>
            </w:tcBorders>
            <w:shd w:val="clear" w:color="auto" w:fill="FFFFFF"/>
            <w:vAlign w:val="center"/>
          </w:tcPr>
          <w:p w14:paraId="6D4194B0">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Equatorial type, DDM160 made by ASA</w:t>
            </w:r>
          </w:p>
        </w:tc>
      </w:tr>
      <w:tr w14:paraId="34A87D8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66" w:type="dxa"/>
            <w:tcBorders>
              <w:top w:val="nil"/>
              <w:left w:val="nil"/>
              <w:bottom w:val="nil"/>
              <w:right w:val="nil"/>
            </w:tcBorders>
            <w:shd w:val="clear" w:color="auto" w:fill="FFFFFF"/>
            <w:vAlign w:val="center"/>
          </w:tcPr>
          <w:p w14:paraId="6C02F19F">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Image space F#</w:t>
            </w:r>
          </w:p>
        </w:tc>
        <w:tc>
          <w:tcPr>
            <w:tcW w:w="4700" w:type="dxa"/>
            <w:tcBorders>
              <w:top w:val="nil"/>
              <w:left w:val="nil"/>
              <w:bottom w:val="nil"/>
              <w:right w:val="nil"/>
            </w:tcBorders>
            <w:shd w:val="clear" w:color="auto" w:fill="FFFFFF"/>
            <w:vAlign w:val="center"/>
          </w:tcPr>
          <w:p w14:paraId="47FC49D0">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~F/9</w:t>
            </w:r>
          </w:p>
        </w:tc>
      </w:tr>
      <w:tr w14:paraId="7271222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66" w:type="dxa"/>
            <w:tcBorders>
              <w:top w:val="nil"/>
              <w:left w:val="nil"/>
              <w:bottom w:val="single" w:color="000000" w:sz="12" w:space="0"/>
              <w:right w:val="nil"/>
            </w:tcBorders>
            <w:shd w:val="clear" w:color="auto" w:fill="FFFFFF"/>
            <w:vAlign w:val="center"/>
          </w:tcPr>
          <w:p w14:paraId="21EC0A53">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Post-focus instrument</w:t>
            </w:r>
          </w:p>
        </w:tc>
        <w:tc>
          <w:tcPr>
            <w:tcW w:w="4700" w:type="dxa"/>
            <w:tcBorders>
              <w:top w:val="nil"/>
              <w:left w:val="nil"/>
              <w:bottom w:val="single" w:color="000000" w:sz="12" w:space="0"/>
              <w:right w:val="nil"/>
            </w:tcBorders>
            <w:shd w:val="clear" w:color="auto" w:fill="FFFFFF"/>
            <w:vAlign w:val="center"/>
          </w:tcPr>
          <w:p w14:paraId="7754C673">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TiO band imager for first light</w:t>
            </w:r>
          </w:p>
          <w:p w14:paraId="0A4E21BE">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H</w:t>
            </w:r>
            <w:r>
              <w:rPr>
                <w:color w:val="000000" w:themeColor="text1"/>
                <w14:textFill>
                  <w14:solidFill>
                    <w14:schemeClr w14:val="tx1"/>
                  </w14:solidFill>
                </w14:textFill>
              </w:rPr>
              <w:t>α</w:t>
            </w:r>
            <w:r>
              <w:rPr>
                <w:rFonts w:hint="eastAsia"/>
                <w:color w:val="000000" w:themeColor="text1"/>
                <w14:textFill>
                  <w14:solidFill>
                    <w14:schemeClr w14:val="tx1"/>
                  </w14:solidFill>
                </w14:textFill>
              </w:rPr>
              <w:t xml:space="preserve"> line and magnetic field imager for future</w:t>
            </w:r>
          </w:p>
        </w:tc>
      </w:tr>
    </w:tbl>
    <w:p w14:paraId="793831D8">
      <w:pPr>
        <w:spacing w:line="24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The initial scientific goal</w:t>
      </w:r>
      <w:r>
        <w:rPr>
          <w:rFonts w:hint="eastAsia"/>
          <w:color w:val="000000" w:themeColor="text1"/>
          <w14:textFill>
            <w14:solidFill>
              <w14:schemeClr w14:val="tx1"/>
            </w14:solidFill>
          </w14:textFill>
        </w:rPr>
        <w:t xml:space="preserve"> of </w:t>
      </w:r>
      <w:r>
        <w:rPr>
          <w:rFonts w:hint="eastAsia"/>
          <w:color w:val="000000" w:themeColor="text1"/>
          <w:lang w:val="en-US" w:eastAsia="zh-CN"/>
          <w14:textFill>
            <w14:solidFill>
              <w14:schemeClr w14:val="tx1"/>
            </w14:solidFill>
          </w14:textFill>
        </w:rPr>
        <w:t xml:space="preserve">the prototype of </w:t>
      </w:r>
      <w:r>
        <w:rPr>
          <w:rFonts w:hint="eastAsia"/>
          <w:color w:val="000000" w:themeColor="text1"/>
          <w14:textFill>
            <w14:solidFill>
              <w14:schemeClr w14:val="tx1"/>
            </w14:solidFill>
          </w14:textFill>
        </w:rPr>
        <w:t>SAOT</w:t>
      </w:r>
      <w:r>
        <w:rPr>
          <w:color w:val="000000" w:themeColor="text1"/>
          <w14:textFill>
            <w14:solidFill>
              <w14:schemeClr w14:val="tx1"/>
            </w14:solidFill>
          </w14:textFill>
        </w:rPr>
        <w:t xml:space="preserve"> is to perform near</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 xml:space="preserve">diffraction-limit imaging of the solar atmosphere </w:t>
      </w:r>
      <w:r>
        <w:rPr>
          <w:rFonts w:hint="eastAsia"/>
          <w:color w:val="000000" w:themeColor="text1"/>
          <w14:textFill>
            <w14:solidFill>
              <w14:schemeClr w14:val="tx1"/>
            </w14:solidFill>
          </w14:textFill>
        </w:rPr>
        <w:t xml:space="preserve">at activity regions </w:t>
      </w:r>
      <w:r>
        <w:rPr>
          <w:color w:val="000000" w:themeColor="text1"/>
          <w14:textFill>
            <w14:solidFill>
              <w14:schemeClr w14:val="tx1"/>
            </w14:solidFill>
          </w14:textFill>
        </w:rPr>
        <w:t>and its evolution process</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 xml:space="preserve">in </w:t>
      </w:r>
      <w:r>
        <w:rPr>
          <w:color w:val="000000" w:themeColor="text1"/>
          <w14:textFill>
            <w14:solidFill>
              <w14:schemeClr w14:val="tx1"/>
            </w14:solidFill>
          </w14:textFill>
        </w:rPr>
        <w:t>the photosphere</w:t>
      </w:r>
      <w:r>
        <w:rPr>
          <w:rFonts w:hint="eastAsia"/>
          <w:color w:val="000000" w:themeColor="text1"/>
          <w14:textFill>
            <w14:solidFill>
              <w14:schemeClr w14:val="tx1"/>
            </w14:solidFill>
          </w14:textFill>
        </w:rPr>
        <w:t xml:space="preserve"> layer</w:t>
      </w:r>
      <w:r>
        <w:rPr>
          <w:color w:val="000000" w:themeColor="text1"/>
          <w14:textFill>
            <w14:solidFill>
              <w14:schemeClr w14:val="tx1"/>
            </w14:solidFill>
          </w14:textFill>
        </w:rPr>
        <w:t>. The optical system design</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scheme </w:t>
      </w:r>
      <w:r>
        <w:rPr>
          <w:rFonts w:hint="eastAsia"/>
          <w:color w:val="000000" w:themeColor="text1"/>
          <w14:textFill>
            <w14:solidFill>
              <w14:schemeClr w14:val="tx1"/>
            </w14:solidFill>
          </w14:textFill>
        </w:rPr>
        <w:t xml:space="preserve">and the corresponding </w:t>
      </w:r>
      <w:r>
        <w:rPr>
          <w:rFonts w:hint="eastAsia"/>
          <w:color w:val="000000" w:themeColor="text1"/>
          <w:lang w:val="en-US" w:eastAsia="zh-CN"/>
          <w14:textFill>
            <w14:solidFill>
              <w14:schemeClr w14:val="tx1"/>
            </w14:solidFill>
          </w14:textFill>
        </w:rPr>
        <w:t xml:space="preserve">systematic structure </w:t>
      </w:r>
      <w:r>
        <w:rPr>
          <w:color w:val="000000" w:themeColor="text1"/>
          <w14:textFill>
            <w14:solidFill>
              <w14:schemeClr w14:val="tx1"/>
            </w14:solidFill>
          </w14:textFill>
        </w:rPr>
        <w:t>of the established 600</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mm aperture</w:t>
      </w:r>
      <w:r>
        <w:rPr>
          <w:rFonts w:hint="eastAsia"/>
          <w:color w:val="000000" w:themeColor="text1"/>
          <w14:textFill>
            <w14:solidFill>
              <w14:schemeClr w14:val="tx1"/>
            </w14:solidFill>
          </w14:textFill>
        </w:rPr>
        <w:t xml:space="preserve"> size</w:t>
      </w:r>
      <w:r>
        <w:rPr>
          <w:color w:val="000000" w:themeColor="text1"/>
          <w14:textFill>
            <w14:solidFill>
              <w14:schemeClr w14:val="tx1"/>
            </w14:solidFill>
          </w14:textFill>
        </w:rPr>
        <w:t xml:space="preserve"> SAOT system are shown in Fig</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S1(a) and (b)</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W</w:t>
      </w:r>
      <w:r>
        <w:rPr>
          <w:color w:val="000000" w:themeColor="text1"/>
          <w14:textFill>
            <w14:solidFill>
              <w14:schemeClr w14:val="tx1"/>
            </w14:solidFill>
          </w14:textFill>
        </w:rPr>
        <w:t xml:space="preserve">e adopt a single Gregorian optics design, </w:t>
      </w:r>
      <w:r>
        <w:rPr>
          <w:rFonts w:hint="eastAsia"/>
          <w:color w:val="000000" w:themeColor="text1"/>
          <w14:textFill>
            <w14:solidFill>
              <w14:schemeClr w14:val="tx1"/>
            </w14:solidFill>
          </w14:textFill>
        </w:rPr>
        <w:t xml:space="preserve">and an open tube truss is used to keep all optical elements at their right positions and is equipped </w:t>
      </w:r>
      <w:r>
        <w:rPr>
          <w:color w:val="000000" w:themeColor="text1"/>
          <w14:textFill>
            <w14:solidFill>
              <w14:schemeClr w14:val="tx1"/>
            </w14:solidFill>
          </w14:textFill>
        </w:rPr>
        <w:t>with</w:t>
      </w:r>
      <w:r>
        <w:rPr>
          <w:rFonts w:hint="eastAsia"/>
          <w:color w:val="000000" w:themeColor="text1"/>
          <w14:textFill>
            <w14:solidFill>
              <w14:schemeClr w14:val="tx1"/>
            </w14:solidFill>
          </w14:textFill>
        </w:rPr>
        <w:t xml:space="preserve"> an equatorial mount of DDM160 made by ASA</w:t>
      </w:r>
      <w:r>
        <w:rPr>
          <w:rFonts w:hint="eastAsia"/>
          <w:color w:val="000000" w:themeColor="text1"/>
          <w:lang w:val="en-US" w:eastAsia="zh-CN"/>
          <w14:textFill>
            <w14:solidFill>
              <w14:schemeClr w14:val="tx1"/>
            </w14:solidFill>
          </w14:textFill>
        </w:rPr>
        <w:t>, Austria</w:t>
      </w:r>
      <w:r>
        <w:rPr>
          <w:rFonts w:hint="eastAsia"/>
          <w:color w:val="000000" w:themeColor="text1"/>
          <w14:textFill>
            <w14:solidFill>
              <w14:schemeClr w14:val="tx1"/>
            </w14:solidFill>
          </w14:textFill>
        </w:rPr>
        <w:t>. Sun shield coated by TiO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 xml:space="preserve"> layer can protect the tube truss</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 xml:space="preserve"> avoiding radiation of sun light. T</w:t>
      </w:r>
      <w:r>
        <w:rPr>
          <w:color w:val="000000" w:themeColor="text1"/>
          <w14:textFill>
            <w14:solidFill>
              <w14:schemeClr w14:val="tx1"/>
            </w14:solidFill>
          </w14:textFill>
        </w:rPr>
        <w:t>he primary focus position F1 is used to equip a Heat-Stop to prevent sunlight and thermal response. A SDM with 61 actuators is installed behind the focus</w:t>
      </w:r>
      <w:r>
        <w:rPr>
          <w:rFonts w:hint="eastAsia"/>
          <w:color w:val="000000" w:themeColor="text1"/>
          <w14:textFill>
            <w14:solidFill>
              <w14:schemeClr w14:val="tx1"/>
            </w14:solidFill>
          </w14:textFill>
        </w:rPr>
        <w:t xml:space="preserve"> F1</w:t>
      </w:r>
      <w:r>
        <w:rPr>
          <w:color w:val="000000" w:themeColor="text1"/>
          <w14:textFill>
            <w14:solidFill>
              <w14:schemeClr w14:val="tx1"/>
            </w14:solidFill>
          </w14:textFill>
        </w:rPr>
        <w:t xml:space="preserve">, about 300mm from the exit pupil position. </w:t>
      </w:r>
      <w:r>
        <w:rPr>
          <w:rFonts w:hint="eastAsia"/>
          <w:color w:val="000000" w:themeColor="text1"/>
          <w14:textFill>
            <w14:solidFill>
              <w14:schemeClr w14:val="tx1"/>
            </w14:solidFill>
          </w14:textFill>
        </w:rPr>
        <w:t>W</w:t>
      </w:r>
      <w:r>
        <w:rPr>
          <w:color w:val="000000" w:themeColor="text1"/>
          <w14:textFill>
            <w14:solidFill>
              <w14:schemeClr w14:val="tx1"/>
            </w14:solidFill>
          </w14:textFill>
        </w:rPr>
        <w:t xml:space="preserve">e set up a folded axis reflector FM above the primary mirror and placed the scientific focus F2 and </w:t>
      </w:r>
      <w:r>
        <w:rPr>
          <w:rFonts w:hint="eastAsia"/>
          <w:color w:val="000000" w:themeColor="text1"/>
          <w14:textFill>
            <w14:solidFill>
              <w14:schemeClr w14:val="tx1"/>
            </w14:solidFill>
          </w14:textFill>
        </w:rPr>
        <w:t>post-focus</w:t>
      </w:r>
      <w:r>
        <w:rPr>
          <w:color w:val="000000" w:themeColor="text1"/>
          <w14:textFill>
            <w14:solidFill>
              <w14:schemeClr w14:val="tx1"/>
            </w14:solidFill>
          </w14:textFill>
        </w:rPr>
        <w:t xml:space="preserve"> instruments on the tube truss of SAOT, mainly because the active thermal control </w:t>
      </w:r>
      <w:r>
        <w:rPr>
          <w:rFonts w:hint="eastAsia"/>
          <w:color w:val="000000" w:themeColor="text1"/>
          <w14:textFill>
            <w14:solidFill>
              <w14:schemeClr w14:val="tx1"/>
            </w14:solidFill>
          </w14:textFill>
        </w:rPr>
        <w:t>system</w:t>
      </w:r>
      <w:r>
        <w:rPr>
          <w:color w:val="000000" w:themeColor="text1"/>
          <w14:textFill>
            <w14:solidFill>
              <w14:schemeClr w14:val="tx1"/>
            </w14:solidFill>
          </w14:textFill>
        </w:rPr>
        <w:t xml:space="preserve"> needs to be installed behind the primary mirror of SAOT to carry out high-precision control of mirror surface temperature, avoiding mirror seeing effect and thermal deformation</w:t>
      </w:r>
      <w:r>
        <w:rPr>
          <w:rFonts w:hint="eastAsia"/>
          <w:color w:val="000000" w:themeColor="text1"/>
          <w14:textFill>
            <w14:solidFill>
              <w14:schemeClr w14:val="tx1"/>
            </w14:solidFill>
          </w14:textFill>
        </w:rPr>
        <w:t>, as shown in Fig. S1(b)</w:t>
      </w:r>
      <w:r>
        <w:rPr>
          <w:color w:val="000000" w:themeColor="text1"/>
          <w14:textFill>
            <w14:solidFill>
              <w14:schemeClr w14:val="tx1"/>
            </w14:solidFill>
          </w14:textFill>
        </w:rPr>
        <w:t xml:space="preserve">. The </w:t>
      </w:r>
      <w:r>
        <w:rPr>
          <w:rFonts w:hint="eastAsia"/>
          <w:color w:val="000000" w:themeColor="text1"/>
          <w14:textFill>
            <w14:solidFill>
              <w14:schemeClr w14:val="tx1"/>
            </w14:solidFill>
          </w14:textFill>
        </w:rPr>
        <w:t xml:space="preserve">post-focus </w:t>
      </w:r>
      <w:r>
        <w:rPr>
          <w:color w:val="000000" w:themeColor="text1"/>
          <w14:textFill>
            <w14:solidFill>
              <w14:schemeClr w14:val="tx1"/>
            </w14:solidFill>
          </w14:textFill>
        </w:rPr>
        <w:t xml:space="preserve">instruments are installed in the instrument box and fixed on the tube truss together, including an </w:t>
      </w:r>
      <w:r>
        <w:rPr>
          <w:rFonts w:hint="eastAsia"/>
          <w:color w:val="000000" w:themeColor="text1"/>
          <w14:textFill>
            <w14:solidFill>
              <w14:schemeClr w14:val="tx1"/>
            </w14:solidFill>
          </w14:textFill>
        </w:rPr>
        <w:t xml:space="preserve">imaging </w:t>
      </w:r>
      <w:r>
        <w:rPr>
          <w:color w:val="000000" w:themeColor="text1"/>
          <w14:textFill>
            <w14:solidFill>
              <w14:schemeClr w14:val="tx1"/>
            </w14:solidFill>
          </w14:textFill>
        </w:rPr>
        <w:t xml:space="preserve">detector and a </w:t>
      </w:r>
      <w:r>
        <w:rPr>
          <w:rFonts w:cs="Times New Roman"/>
        </w:rPr>
        <w:t xml:space="preserve">Hartmann </w:t>
      </w:r>
      <w:r>
        <w:rPr>
          <w:rFonts w:hint="eastAsia" w:cs="Times New Roman"/>
        </w:rPr>
        <w:t xml:space="preserve">wavefront </w:t>
      </w:r>
      <w:r>
        <w:rPr>
          <w:rFonts w:cs="Times New Roman"/>
        </w:rPr>
        <w:t>sensor</w:t>
      </w:r>
      <w:r>
        <w:rPr>
          <w:rFonts w:hint="eastAsia" w:cs="Times New Roman"/>
          <w:lang w:val="en-US" w:eastAsia="zh-CN"/>
        </w:rPr>
        <w:t xml:space="preserve"> </w:t>
      </w:r>
      <w:r>
        <w:rPr>
          <w:rFonts w:cs="Times New Roman"/>
        </w:rPr>
        <w:t>(HS WFS)</w:t>
      </w:r>
      <w:r>
        <w:rPr>
          <w:color w:val="000000" w:themeColor="text1"/>
          <w14:textFill>
            <w14:solidFill>
              <w14:schemeClr w14:val="tx1"/>
            </w14:solidFill>
          </w14:textFill>
        </w:rPr>
        <w:t xml:space="preserve"> for measuring </w:t>
      </w:r>
      <w:r>
        <w:rPr>
          <w:rFonts w:hint="eastAsia"/>
          <w:color w:val="000000" w:themeColor="text1"/>
          <w:lang w:val="en-US" w:eastAsia="zh-CN"/>
          <w14:textFill>
            <w14:solidFill>
              <w14:schemeClr w14:val="tx1"/>
            </w14:solidFill>
          </w14:textFill>
        </w:rPr>
        <w:t xml:space="preserve">full wavefront aberrations including </w:t>
      </w:r>
      <w:r>
        <w:rPr>
          <w:rFonts w:hint="eastAsia"/>
          <w:color w:val="000000" w:themeColor="text1"/>
          <w14:textFill>
            <w14:solidFill>
              <w14:schemeClr w14:val="tx1"/>
            </w14:solidFill>
          </w14:textFill>
        </w:rPr>
        <w:t>global tip-</w:t>
      </w:r>
      <w:r>
        <w:rPr>
          <w:color w:val="000000" w:themeColor="text1"/>
          <w14:textFill>
            <w14:solidFill>
              <w14:schemeClr w14:val="tx1"/>
            </w14:solidFill>
          </w14:textFill>
        </w:rPr>
        <w:t>tilt error</w:t>
      </w:r>
      <w:r>
        <w:rPr>
          <w:rFonts w:hint="eastAsia"/>
          <w:color w:val="000000" w:themeColor="text1"/>
          <w:lang w:val="en-US" w:eastAsia="zh-CN"/>
          <w14:textFill>
            <w14:solidFill>
              <w14:schemeClr w14:val="tx1"/>
            </w14:solidFill>
          </w14:textFill>
        </w:rPr>
        <w:t xml:space="preserve"> and higher-order</w:t>
      </w:r>
      <w:r>
        <w:rPr>
          <w:color w:val="000000" w:themeColor="text1"/>
          <w14:textFill>
            <w14:solidFill>
              <w14:schemeClr w14:val="tx1"/>
            </w14:solidFill>
          </w14:textFill>
        </w:rPr>
        <w:t xml:space="preserve"> wavefront aberration </w:t>
      </w:r>
      <w:r>
        <w:rPr>
          <w:rFonts w:hint="eastAsia"/>
          <w:color w:val="000000" w:themeColor="text1"/>
          <w14:textFill>
            <w14:solidFill>
              <w14:schemeClr w14:val="tx1"/>
            </w14:solidFill>
          </w14:textFill>
        </w:rPr>
        <w:t>in real time</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In initial configuration of SAOT, only one imaging channel for observing </w:t>
      </w:r>
      <w:r>
        <w:rPr>
          <w:color w:val="000000" w:themeColor="text1"/>
          <w14:textFill>
            <w14:solidFill>
              <w14:schemeClr w14:val="tx1"/>
            </w14:solidFill>
          </w14:textFill>
        </w:rPr>
        <w:t xml:space="preserve">the </w:t>
      </w:r>
      <w:r>
        <w:rPr>
          <w:rFonts w:hint="eastAsia"/>
          <w:color w:val="000000" w:themeColor="text1"/>
          <w14:textFill>
            <w14:solidFill>
              <w14:schemeClr w14:val="tx1"/>
            </w14:solidFill>
          </w14:textFill>
        </w:rPr>
        <w:t xml:space="preserve">photosphere layer with TiO band was equipped with the center light band of 705.7 nm. The other kinds of post-focus instruments will be equipped </w:t>
      </w:r>
      <w:r>
        <w:rPr>
          <w:color w:val="000000" w:themeColor="text1"/>
          <w14:textFill>
            <w14:solidFill>
              <w14:schemeClr w14:val="tx1"/>
            </w14:solidFill>
          </w14:textFill>
        </w:rPr>
        <w:t>successively,</w:t>
      </w:r>
      <w:r>
        <w:rPr>
          <w:rFonts w:hint="eastAsia"/>
          <w:color w:val="000000" w:themeColor="text1"/>
          <w14:textFill>
            <w14:solidFill>
              <w14:schemeClr w14:val="tx1"/>
            </w14:solidFill>
          </w14:textFill>
        </w:rPr>
        <w:t xml:space="preserve"> including imaging channels for observing </w:t>
      </w:r>
      <w:r>
        <w:rPr>
          <w:color w:val="000000" w:themeColor="text1"/>
          <w14:textFill>
            <w14:solidFill>
              <w14:schemeClr w14:val="tx1"/>
            </w14:solidFill>
          </w14:textFill>
        </w:rPr>
        <w:t xml:space="preserve">the </w:t>
      </w:r>
      <w:r>
        <w:rPr>
          <w:rFonts w:hint="eastAsia"/>
          <w:color w:val="000000" w:themeColor="text1"/>
          <w14:textFill>
            <w14:solidFill>
              <w14:schemeClr w14:val="tx1"/>
            </w14:solidFill>
          </w14:textFill>
        </w:rPr>
        <w:t>chromosphere layer at H</w:t>
      </w:r>
      <w:r>
        <w:rPr>
          <w:rFonts w:cs="Times New Roman"/>
          <w:color w:val="000000" w:themeColor="text1"/>
          <w14:textFill>
            <w14:solidFill>
              <w14:schemeClr w14:val="tx1"/>
            </w14:solidFill>
          </w14:textFill>
        </w:rPr>
        <w:t>α</w:t>
      </w:r>
      <w:r>
        <w:rPr>
          <w:rFonts w:hint="eastAsia"/>
          <w:color w:val="000000" w:themeColor="text1"/>
          <w14:textFill>
            <w14:solidFill>
              <w14:schemeClr w14:val="tx1"/>
            </w14:solidFill>
          </w14:textFill>
        </w:rPr>
        <w:t xml:space="preserve"> line and magnetic filed imager etc.</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 xml:space="preserve"> in </w:t>
      </w:r>
      <w:r>
        <w:rPr>
          <w:color w:val="000000" w:themeColor="text1"/>
          <w14:textFill>
            <w14:solidFill>
              <w14:schemeClr w14:val="tx1"/>
            </w14:solidFill>
          </w14:textFill>
        </w:rPr>
        <w:t xml:space="preserve">the </w:t>
      </w:r>
      <w:r>
        <w:rPr>
          <w:rFonts w:hint="eastAsia"/>
          <w:color w:val="000000" w:themeColor="text1"/>
          <w14:textFill>
            <w14:solidFill>
              <w14:schemeClr w14:val="tx1"/>
            </w14:solidFill>
          </w14:textFill>
        </w:rPr>
        <w:t xml:space="preserve">following time. </w:t>
      </w:r>
      <w:r>
        <w:rPr>
          <w:color w:val="000000" w:themeColor="text1"/>
          <w14:textFill>
            <w14:solidFill>
              <w14:schemeClr w14:val="tx1"/>
            </w14:solidFill>
          </w14:textFill>
        </w:rPr>
        <w:t>The critical components of the SAOT system are described in detail below.</w:t>
      </w:r>
    </w:p>
    <w:p w14:paraId="7BDD1916">
      <w:pPr>
        <w:spacing w:line="240" w:lineRule="auto"/>
        <w:ind w:firstLine="0" w:firstLineChars="0"/>
        <w:jc w:val="center"/>
        <w:rPr>
          <w:rFonts w:cs="Times New Roman"/>
        </w:rPr>
      </w:pPr>
      <w:r>
        <w:rPr>
          <w:rFonts w:cs="Times New Roman"/>
        </w:rPr>
        <w:drawing>
          <wp:inline distT="0" distB="0" distL="0" distR="0">
            <wp:extent cx="5272405" cy="2686050"/>
            <wp:effectExtent l="0" t="0" r="4445" b="0"/>
            <wp:docPr id="11894063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406328" name="图片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272405" cy="2686050"/>
                    </a:xfrm>
                    <a:prstGeom prst="rect">
                      <a:avLst/>
                    </a:prstGeom>
                    <a:noFill/>
                    <a:ln>
                      <a:noFill/>
                    </a:ln>
                  </pic:spPr>
                </pic:pic>
              </a:graphicData>
            </a:graphic>
          </wp:inline>
        </w:drawing>
      </w:r>
    </w:p>
    <w:p w14:paraId="6C18574D">
      <w:pPr>
        <w:spacing w:line="240" w:lineRule="auto"/>
        <w:ind w:firstLine="0" w:firstLineChars="0"/>
        <w:rPr>
          <w:rFonts w:cs="Times New Roman"/>
        </w:rPr>
      </w:pPr>
      <w:r>
        <w:rPr>
          <w:rFonts w:cs="Times New Roman"/>
          <w:b/>
          <w:bCs/>
        </w:rPr>
        <w:t>Fig. S</w:t>
      </w:r>
      <w:r>
        <w:rPr>
          <w:rFonts w:hint="eastAsia" w:cs="Times New Roman"/>
          <w:b/>
          <w:bCs/>
        </w:rPr>
        <w:t>1</w:t>
      </w:r>
      <w:r>
        <w:rPr>
          <w:rFonts w:cs="Times New Roman"/>
        </w:rPr>
        <w:t xml:space="preserve"> </w:t>
      </w:r>
      <w:r>
        <w:rPr>
          <w:rFonts w:hint="eastAsia" w:cs="Times New Roman"/>
          <w:lang w:val="en-US" w:eastAsia="zh-CN"/>
        </w:rPr>
        <w:t xml:space="preserve">Prototype of SAOT with 600mm aperture size. </w:t>
      </w:r>
      <w:r>
        <w:rPr>
          <w:rFonts w:cs="Times New Roman"/>
        </w:rPr>
        <w:t>(a) Optical</w:t>
      </w:r>
      <w:r>
        <w:rPr>
          <w:rFonts w:hint="eastAsia" w:cs="Times New Roman"/>
        </w:rPr>
        <w:t xml:space="preserve"> design of 600mm </w:t>
      </w:r>
      <w:r>
        <w:rPr>
          <w:rFonts w:hint="eastAsia" w:cs="Times New Roman"/>
          <w:lang w:val="en-US" w:eastAsia="zh-CN"/>
        </w:rPr>
        <w:t xml:space="preserve">prototype of </w:t>
      </w:r>
      <w:r>
        <w:rPr>
          <w:rFonts w:hint="eastAsia" w:cs="Times New Roman"/>
        </w:rPr>
        <w:t>SAOT.</w:t>
      </w:r>
      <w:r>
        <w:rPr>
          <w:rFonts w:cs="Times New Roman"/>
        </w:rPr>
        <w:t xml:space="preserve"> (b) </w:t>
      </w:r>
      <w:r>
        <w:rPr>
          <w:rFonts w:hint="eastAsia"/>
          <w:color w:val="000000" w:themeColor="text1"/>
          <w:lang w:val="en-US" w:eastAsia="zh-CN"/>
          <w14:textFill>
            <w14:solidFill>
              <w14:schemeClr w14:val="tx1"/>
            </w14:solidFill>
          </w14:textFill>
        </w:rPr>
        <w:t>Systematic structure</w:t>
      </w:r>
      <w:r>
        <w:rPr>
          <w:rFonts w:hint="eastAsia" w:cs="Times New Roman"/>
        </w:rPr>
        <w:t xml:space="preserve"> of 600mm SAOT system. PM: </w:t>
      </w:r>
      <w:r>
        <w:rPr>
          <w:rFonts w:cs="Times New Roman"/>
        </w:rPr>
        <w:t>primary m</w:t>
      </w:r>
      <w:r>
        <w:rPr>
          <w:rFonts w:hint="eastAsia" w:cs="Times New Roman"/>
        </w:rPr>
        <w:t xml:space="preserve">irror; SDM: </w:t>
      </w:r>
      <w:r>
        <w:rPr>
          <w:rFonts w:cs="Times New Roman"/>
        </w:rPr>
        <w:t>secondary deformable m</w:t>
      </w:r>
      <w:r>
        <w:rPr>
          <w:rFonts w:hint="eastAsia" w:cs="Times New Roman"/>
        </w:rPr>
        <w:t xml:space="preserve">irror; FM: </w:t>
      </w:r>
      <w:r>
        <w:rPr>
          <w:rFonts w:cs="Times New Roman"/>
        </w:rPr>
        <w:t>fold mir</w:t>
      </w:r>
      <w:r>
        <w:rPr>
          <w:rFonts w:hint="eastAsia" w:cs="Times New Roman"/>
        </w:rPr>
        <w:t xml:space="preserve">ror; DBS: </w:t>
      </w:r>
      <w:r>
        <w:rPr>
          <w:rFonts w:cs="Times New Roman"/>
        </w:rPr>
        <w:t>dichroic beam-sp</w:t>
      </w:r>
      <w:r>
        <w:rPr>
          <w:rFonts w:hint="eastAsia" w:cs="Times New Roman"/>
        </w:rPr>
        <w:t xml:space="preserve">litter; F1: </w:t>
      </w:r>
      <w:r>
        <w:rPr>
          <w:rFonts w:cs="Times New Roman"/>
        </w:rPr>
        <w:t>primary f</w:t>
      </w:r>
      <w:r>
        <w:rPr>
          <w:rFonts w:hint="eastAsia" w:cs="Times New Roman"/>
        </w:rPr>
        <w:t xml:space="preserve">ocus; F2: </w:t>
      </w:r>
      <w:r>
        <w:rPr>
          <w:rFonts w:cs="Times New Roman"/>
        </w:rPr>
        <w:t>scientific foc</w:t>
      </w:r>
      <w:r>
        <w:rPr>
          <w:rFonts w:hint="eastAsia" w:cs="Times New Roman"/>
        </w:rPr>
        <w:t xml:space="preserve">us; M1/2: reflective </w:t>
      </w:r>
      <w:r>
        <w:rPr>
          <w:rFonts w:cs="Times New Roman"/>
        </w:rPr>
        <w:t>m</w:t>
      </w:r>
      <w:r>
        <w:rPr>
          <w:rFonts w:hint="eastAsia" w:cs="Times New Roman"/>
        </w:rPr>
        <w:t xml:space="preserve">irror; L1: collimator; L2: </w:t>
      </w:r>
      <w:r>
        <w:rPr>
          <w:rFonts w:cs="Times New Roman"/>
        </w:rPr>
        <w:t>imaging l</w:t>
      </w:r>
      <w:r>
        <w:rPr>
          <w:rFonts w:hint="eastAsia" w:cs="Times New Roman"/>
        </w:rPr>
        <w:t>ens; L3&amp;4: beam shrink lenses; HS: Hartmann-S</w:t>
      </w:r>
      <w:r>
        <w:rPr>
          <w:rFonts w:cs="Times New Roman"/>
        </w:rPr>
        <w:t>hack wavefront se</w:t>
      </w:r>
      <w:r>
        <w:rPr>
          <w:rFonts w:hint="eastAsia" w:cs="Times New Roman"/>
        </w:rPr>
        <w:t>nsor (WFS).</w:t>
      </w:r>
    </w:p>
    <w:p w14:paraId="7CDA1DFA">
      <w:pPr>
        <w:spacing w:line="24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 xml:space="preserve">600 mm </w:t>
      </w:r>
      <w:r>
        <w:rPr>
          <w:rFonts w:hint="eastAsia"/>
          <w:color w:val="000000" w:themeColor="text1"/>
          <w:lang w:val="en-US" w:eastAsia="zh-CN"/>
          <w14:textFill>
            <w14:solidFill>
              <w14:schemeClr w14:val="tx1"/>
            </w14:solidFill>
          </w14:textFill>
        </w:rPr>
        <w:t xml:space="preserve">prototype of </w:t>
      </w:r>
      <w:r>
        <w:rPr>
          <w:color w:val="000000" w:themeColor="text1"/>
          <w14:textFill>
            <w14:solidFill>
              <w14:schemeClr w14:val="tx1"/>
            </w14:solidFill>
          </w14:textFill>
        </w:rPr>
        <w:t>SAOT adopts a 2-mirror G</w:t>
      </w:r>
      <w:r>
        <w:rPr>
          <w:rFonts w:hint="eastAsia"/>
          <w:color w:val="000000" w:themeColor="text1"/>
          <w14:textFill>
            <w14:solidFill>
              <w14:schemeClr w14:val="tx1"/>
            </w14:solidFill>
          </w14:textFill>
        </w:rPr>
        <w:t>regorian</w:t>
      </w:r>
      <w:r>
        <w:rPr>
          <w:color w:val="000000" w:themeColor="text1"/>
          <w14:textFill>
            <w14:solidFill>
              <w14:schemeClr w14:val="tx1"/>
            </w14:solidFill>
          </w14:textFill>
        </w:rPr>
        <w:t xml:space="preserve"> system, which includes two focusing mirrors</w:t>
      </w:r>
      <w:r>
        <w:rPr>
          <w:rFonts w:hint="eastAsia"/>
          <w:color w:val="000000" w:themeColor="text1"/>
          <w14:textFill>
            <w14:solidFill>
              <w14:schemeClr w14:val="tx1"/>
            </w14:solidFill>
          </w14:textFill>
        </w:rPr>
        <w:t xml:space="preserve"> (PM</w:t>
      </w:r>
      <w:r>
        <w:rPr>
          <w:color w:val="000000" w:themeColor="text1"/>
          <w14:textFill>
            <w14:solidFill>
              <w14:schemeClr w14:val="tx1"/>
            </w14:solidFill>
          </w14:textFill>
        </w:rPr>
        <w:t xml:space="preserve"> and </w:t>
      </w:r>
      <w:r>
        <w:rPr>
          <w:rFonts w:hint="eastAsia"/>
          <w:color w:val="000000" w:themeColor="text1"/>
          <w14:textFill>
            <w14:solidFill>
              <w14:schemeClr w14:val="tx1"/>
            </w14:solidFill>
          </w14:textFill>
        </w:rPr>
        <w:t>SDM)</w:t>
      </w:r>
      <w:r>
        <w:rPr>
          <w:color w:val="000000" w:themeColor="text1"/>
          <w14:textFill>
            <w14:solidFill>
              <w14:schemeClr w14:val="tx1"/>
            </w14:solidFill>
          </w14:textFill>
        </w:rPr>
        <w:t xml:space="preserve"> and a plane folding mirror </w:t>
      </w:r>
      <w:r>
        <w:rPr>
          <w:rFonts w:hint="eastAsia"/>
          <w:color w:val="000000" w:themeColor="text1"/>
          <w14:textFill>
            <w14:solidFill>
              <w14:schemeClr w14:val="tx1"/>
            </w14:solidFill>
          </w14:textFill>
        </w:rPr>
        <w:t>(FM)</w:t>
      </w:r>
      <w:r>
        <w:rPr>
          <w:color w:val="000000" w:themeColor="text1"/>
          <w14:textFill>
            <w14:solidFill>
              <w14:schemeClr w14:val="tx1"/>
            </w14:solidFill>
          </w14:textFill>
        </w:rPr>
        <w:t>. The primary mirror adopts a light</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weight</w:t>
      </w:r>
      <w:r>
        <w:rPr>
          <w:rFonts w:hint="eastAsia"/>
          <w:color w:val="000000" w:themeColor="text1"/>
          <w14:textFill>
            <w14:solidFill>
              <w14:schemeClr w14:val="tx1"/>
            </w14:solidFill>
          </w14:textFill>
        </w:rPr>
        <w:t>ed</w:t>
      </w:r>
      <w:r>
        <w:rPr>
          <w:color w:val="000000" w:themeColor="text1"/>
          <w14:textFill>
            <w14:solidFill>
              <w14:schemeClr w14:val="tx1"/>
            </w14:solidFill>
          </w14:textFill>
        </w:rPr>
        <w:t xml:space="preserve"> honeycomb primary mirror made of ULE material, with a coaxial paraboloid surface and a focal length of about 1020 mm. The secondary </w:t>
      </w:r>
      <w:r>
        <w:rPr>
          <w:rFonts w:hint="eastAsia"/>
          <w:color w:val="000000" w:themeColor="text1"/>
          <w14:textFill>
            <w14:solidFill>
              <w14:schemeClr w14:val="tx1"/>
            </w14:solidFill>
          </w14:textFill>
        </w:rPr>
        <w:t xml:space="preserve">deformable </w:t>
      </w:r>
      <w:r>
        <w:rPr>
          <w:color w:val="000000" w:themeColor="text1"/>
          <w14:textFill>
            <w14:solidFill>
              <w14:schemeClr w14:val="tx1"/>
            </w14:solidFill>
          </w14:textFill>
        </w:rPr>
        <w:t>mirror</w:t>
      </w:r>
      <w:r>
        <w:rPr>
          <w:rFonts w:hint="eastAsia"/>
          <w:color w:val="000000" w:themeColor="text1"/>
          <w14:textFill>
            <w14:solidFill>
              <w14:schemeClr w14:val="tx1"/>
            </w14:solidFill>
          </w14:textFill>
        </w:rPr>
        <w:t xml:space="preserve"> (SDM)</w:t>
      </w:r>
      <w:r>
        <w:rPr>
          <w:color w:val="000000" w:themeColor="text1"/>
          <w14:textFill>
            <w14:solidFill>
              <w14:schemeClr w14:val="tx1"/>
            </w14:solidFill>
          </w14:textFill>
        </w:rPr>
        <w:t xml:space="preserve"> adopts a concave ellipsoid surface</w:t>
      </w:r>
      <w:r>
        <w:rPr>
          <w:rFonts w:hint="eastAsia"/>
          <w:color w:val="000000" w:themeColor="text1"/>
          <w14:textFill>
            <w14:solidFill>
              <w14:schemeClr w14:val="tx1"/>
            </w14:solidFill>
          </w14:textFill>
        </w:rPr>
        <w:t xml:space="preserve"> and a radius of 504.8 mm with </w:t>
      </w:r>
      <w:r>
        <w:rPr>
          <w:color w:val="000000" w:themeColor="text1"/>
          <w14:textFill>
            <w14:solidFill>
              <w14:schemeClr w14:val="tx1"/>
            </w14:solidFill>
          </w14:textFill>
        </w:rPr>
        <w:t xml:space="preserve">a </w:t>
      </w:r>
      <w:r>
        <w:rPr>
          <w:rFonts w:hint="eastAsia"/>
          <w:color w:val="000000" w:themeColor="text1"/>
          <w14:textFill>
            <w14:solidFill>
              <w14:schemeClr w14:val="tx1"/>
            </w14:solidFill>
          </w14:textFill>
        </w:rPr>
        <w:t>conic coefficient of about -0.466</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 xml:space="preserve"> The fold mirror</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has </w:t>
      </w:r>
      <w:r>
        <w:rPr>
          <w:color w:val="000000" w:themeColor="text1"/>
          <w14:textFill>
            <w14:solidFill>
              <w14:schemeClr w14:val="tx1"/>
            </w14:solidFill>
          </w14:textFill>
        </w:rPr>
        <w:t xml:space="preserve">a </w:t>
      </w:r>
      <w:r>
        <w:rPr>
          <w:rFonts w:hint="eastAsia"/>
          <w:color w:val="000000" w:themeColor="text1"/>
          <w14:textFill>
            <w14:solidFill>
              <w14:schemeClr w14:val="tx1"/>
            </w14:solidFill>
          </w14:textFill>
        </w:rPr>
        <w:t>planar surface</w:t>
      </w:r>
      <w:r>
        <w:rPr>
          <w:color w:val="000000" w:themeColor="text1"/>
          <w14:textFill>
            <w14:solidFill>
              <w14:schemeClr w14:val="tx1"/>
            </w14:solidFill>
          </w14:textFill>
        </w:rPr>
        <w:t xml:space="preserve"> made of SiC material. The optical parameters of the three mirrors are shown in the table below.</w:t>
      </w:r>
    </w:p>
    <w:p w14:paraId="56BD0D82">
      <w:pPr>
        <w:spacing w:line="240" w:lineRule="auto"/>
        <w:ind w:firstLine="0" w:firstLineChars="0"/>
        <w:jc w:val="center"/>
        <w:rPr>
          <w:color w:val="000000" w:themeColor="text1"/>
          <w14:textFill>
            <w14:solidFill>
              <w14:schemeClr w14:val="tx1"/>
            </w14:solidFill>
          </w14:textFill>
        </w:rPr>
      </w:pPr>
      <w:r>
        <w:rPr>
          <w:rFonts w:hint="eastAsia"/>
          <w:b/>
          <w:bCs/>
          <w:color w:val="000000" w:themeColor="text1"/>
          <w14:textFill>
            <w14:solidFill>
              <w14:schemeClr w14:val="tx1"/>
            </w14:solidFill>
          </w14:textFill>
        </w:rPr>
        <w:t>Table S2</w:t>
      </w:r>
      <w:r>
        <w:rPr>
          <w:rFonts w:hint="eastAsia"/>
          <w:color w:val="000000" w:themeColor="text1"/>
          <w14:textFill>
            <w14:solidFill>
              <w14:schemeClr w14:val="tx1"/>
            </w14:solidFill>
          </w14:textFill>
        </w:rPr>
        <w:t xml:space="preserve"> Mirrors of the 600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mm SAOT.</w:t>
      </w:r>
    </w:p>
    <w:tbl>
      <w:tblPr>
        <w:tblStyle w:val="5"/>
        <w:tblW w:w="8013"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85"/>
        <w:gridCol w:w="2169"/>
        <w:gridCol w:w="1754"/>
        <w:gridCol w:w="1905"/>
      </w:tblGrid>
      <w:tr w14:paraId="6EF5451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85" w:type="dxa"/>
            <w:tcBorders>
              <w:top w:val="single" w:color="000000" w:sz="12" w:space="0"/>
              <w:left w:val="nil"/>
              <w:bottom w:val="single" w:color="000000" w:sz="4" w:space="0"/>
              <w:right w:val="nil"/>
              <w:tl2br w:val="nil"/>
            </w:tcBorders>
            <w:shd w:val="clear" w:color="auto" w:fill="FFFFFF"/>
            <w:vAlign w:val="center"/>
          </w:tcPr>
          <w:p w14:paraId="2DBC20A6">
            <w:pPr>
              <w:spacing w:line="240" w:lineRule="auto"/>
              <w:ind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Parameter</w:t>
            </w:r>
          </w:p>
        </w:tc>
        <w:tc>
          <w:tcPr>
            <w:tcW w:w="2169" w:type="dxa"/>
            <w:tcBorders>
              <w:top w:val="single" w:color="000000" w:sz="12" w:space="0"/>
              <w:left w:val="nil"/>
              <w:bottom w:val="single" w:color="000000" w:sz="4" w:space="0"/>
              <w:right w:val="nil"/>
            </w:tcBorders>
            <w:shd w:val="clear" w:color="auto" w:fill="FFFFFF"/>
            <w:vAlign w:val="center"/>
          </w:tcPr>
          <w:p w14:paraId="253D53C7">
            <w:pPr>
              <w:spacing w:line="240" w:lineRule="auto"/>
              <w:ind w:firstLine="0" w:firstLineChars="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PM</w:t>
            </w:r>
          </w:p>
        </w:tc>
        <w:tc>
          <w:tcPr>
            <w:tcW w:w="1754" w:type="dxa"/>
            <w:tcBorders>
              <w:top w:val="single" w:color="000000" w:sz="12" w:space="0"/>
              <w:left w:val="nil"/>
              <w:bottom w:val="single" w:color="000000" w:sz="4" w:space="0"/>
              <w:right w:val="nil"/>
            </w:tcBorders>
            <w:shd w:val="clear" w:color="auto" w:fill="FFFFFF"/>
            <w:vAlign w:val="center"/>
          </w:tcPr>
          <w:p w14:paraId="3CC3BA1B">
            <w:pPr>
              <w:spacing w:line="240" w:lineRule="auto"/>
              <w:ind w:firstLine="0" w:firstLineChars="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SDM</w:t>
            </w:r>
          </w:p>
        </w:tc>
        <w:tc>
          <w:tcPr>
            <w:tcW w:w="1905" w:type="dxa"/>
            <w:tcBorders>
              <w:top w:val="single" w:color="000000" w:sz="12" w:space="0"/>
              <w:left w:val="nil"/>
              <w:bottom w:val="single" w:color="000000" w:sz="4" w:space="0"/>
              <w:right w:val="nil"/>
            </w:tcBorders>
            <w:shd w:val="clear" w:color="auto" w:fill="FFFFFF"/>
            <w:vAlign w:val="center"/>
          </w:tcPr>
          <w:p w14:paraId="3BC77C38">
            <w:pPr>
              <w:spacing w:line="240" w:lineRule="auto"/>
              <w:ind w:firstLine="0" w:firstLineChars="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FM</w:t>
            </w:r>
          </w:p>
        </w:tc>
      </w:tr>
      <w:tr w14:paraId="5F4D014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85" w:type="dxa"/>
            <w:tcBorders>
              <w:top w:val="single" w:color="000000" w:sz="4" w:space="0"/>
              <w:left w:val="nil"/>
              <w:bottom w:val="nil"/>
              <w:right w:val="nil"/>
            </w:tcBorders>
            <w:shd w:val="clear" w:color="auto" w:fill="FFFFFF"/>
            <w:vAlign w:val="center"/>
          </w:tcPr>
          <w:p w14:paraId="5268478A">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Shape</w:t>
            </w:r>
          </w:p>
        </w:tc>
        <w:tc>
          <w:tcPr>
            <w:tcW w:w="2169" w:type="dxa"/>
            <w:tcBorders>
              <w:top w:val="single" w:color="000000" w:sz="4" w:space="0"/>
              <w:left w:val="nil"/>
              <w:bottom w:val="nil"/>
              <w:right w:val="nil"/>
            </w:tcBorders>
            <w:shd w:val="clear" w:color="auto" w:fill="FFFFFF"/>
            <w:vAlign w:val="center"/>
          </w:tcPr>
          <w:p w14:paraId="058D5E5D">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Concave paraboloid</w:t>
            </w:r>
          </w:p>
        </w:tc>
        <w:tc>
          <w:tcPr>
            <w:tcW w:w="1754" w:type="dxa"/>
            <w:tcBorders>
              <w:top w:val="single" w:color="000000" w:sz="4" w:space="0"/>
              <w:left w:val="nil"/>
              <w:bottom w:val="nil"/>
              <w:right w:val="nil"/>
            </w:tcBorders>
            <w:shd w:val="clear" w:color="auto" w:fill="FFFFFF"/>
            <w:vAlign w:val="center"/>
          </w:tcPr>
          <w:p w14:paraId="1B69D879">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Concave ellipsoid</w:t>
            </w:r>
          </w:p>
        </w:tc>
        <w:tc>
          <w:tcPr>
            <w:tcW w:w="1905" w:type="dxa"/>
            <w:tcBorders>
              <w:top w:val="single" w:color="000000" w:sz="4" w:space="0"/>
              <w:left w:val="nil"/>
              <w:bottom w:val="nil"/>
              <w:right w:val="nil"/>
            </w:tcBorders>
            <w:shd w:val="clear" w:color="auto" w:fill="FFFFFF"/>
            <w:vAlign w:val="center"/>
          </w:tcPr>
          <w:p w14:paraId="46A266C2">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Flat</w:t>
            </w:r>
          </w:p>
        </w:tc>
      </w:tr>
      <w:tr w14:paraId="20A77C4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85" w:type="dxa"/>
            <w:tcBorders>
              <w:top w:val="nil"/>
              <w:left w:val="nil"/>
              <w:bottom w:val="nil"/>
              <w:right w:val="nil"/>
            </w:tcBorders>
            <w:shd w:val="clear" w:color="auto" w:fill="FFFFFF"/>
            <w:vAlign w:val="center"/>
          </w:tcPr>
          <w:p w14:paraId="28371B12">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Conic</w:t>
            </w:r>
          </w:p>
        </w:tc>
        <w:tc>
          <w:tcPr>
            <w:tcW w:w="2169" w:type="dxa"/>
            <w:tcBorders>
              <w:top w:val="nil"/>
              <w:left w:val="nil"/>
              <w:bottom w:val="nil"/>
              <w:right w:val="nil"/>
            </w:tcBorders>
            <w:shd w:val="clear" w:color="auto" w:fill="FFFFFF"/>
            <w:vAlign w:val="center"/>
          </w:tcPr>
          <w:p w14:paraId="65165B4D">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-1.000</w:t>
            </w:r>
          </w:p>
        </w:tc>
        <w:tc>
          <w:tcPr>
            <w:tcW w:w="1754" w:type="dxa"/>
            <w:tcBorders>
              <w:top w:val="nil"/>
              <w:left w:val="nil"/>
              <w:bottom w:val="nil"/>
              <w:right w:val="nil"/>
            </w:tcBorders>
            <w:shd w:val="clear" w:color="auto" w:fill="FFFFFF"/>
            <w:vAlign w:val="center"/>
          </w:tcPr>
          <w:p w14:paraId="25B98A0B">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-0.466</w:t>
            </w:r>
          </w:p>
        </w:tc>
        <w:tc>
          <w:tcPr>
            <w:tcW w:w="1905" w:type="dxa"/>
            <w:tcBorders>
              <w:top w:val="nil"/>
              <w:left w:val="nil"/>
              <w:bottom w:val="nil"/>
              <w:right w:val="nil"/>
            </w:tcBorders>
            <w:shd w:val="clear" w:color="auto" w:fill="FFFFFF"/>
            <w:vAlign w:val="center"/>
          </w:tcPr>
          <w:p w14:paraId="59F17F24">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14:paraId="49902EB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85" w:type="dxa"/>
            <w:tcBorders>
              <w:top w:val="nil"/>
              <w:left w:val="nil"/>
              <w:bottom w:val="nil"/>
              <w:right w:val="nil"/>
            </w:tcBorders>
            <w:shd w:val="clear" w:color="auto" w:fill="FFFFFF"/>
            <w:vAlign w:val="center"/>
          </w:tcPr>
          <w:p w14:paraId="54581885">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Radius</w:t>
            </w:r>
          </w:p>
        </w:tc>
        <w:tc>
          <w:tcPr>
            <w:tcW w:w="2169" w:type="dxa"/>
            <w:tcBorders>
              <w:top w:val="nil"/>
              <w:left w:val="nil"/>
              <w:bottom w:val="nil"/>
              <w:right w:val="nil"/>
            </w:tcBorders>
            <w:shd w:val="clear" w:color="auto" w:fill="FFFFFF"/>
            <w:vAlign w:val="center"/>
          </w:tcPr>
          <w:p w14:paraId="52B186E6">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-2040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mm</w:t>
            </w:r>
          </w:p>
        </w:tc>
        <w:tc>
          <w:tcPr>
            <w:tcW w:w="1754" w:type="dxa"/>
            <w:tcBorders>
              <w:top w:val="nil"/>
              <w:left w:val="nil"/>
              <w:bottom w:val="nil"/>
              <w:right w:val="nil"/>
            </w:tcBorders>
            <w:shd w:val="clear" w:color="auto" w:fill="FFFFFF"/>
            <w:vAlign w:val="center"/>
          </w:tcPr>
          <w:p w14:paraId="7F91048F">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504.8</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mm</w:t>
            </w:r>
          </w:p>
        </w:tc>
        <w:tc>
          <w:tcPr>
            <w:tcW w:w="1905" w:type="dxa"/>
            <w:tcBorders>
              <w:top w:val="nil"/>
              <w:left w:val="nil"/>
              <w:bottom w:val="nil"/>
              <w:right w:val="nil"/>
            </w:tcBorders>
            <w:shd w:val="clear" w:color="auto" w:fill="FFFFFF"/>
            <w:vAlign w:val="center"/>
          </w:tcPr>
          <w:p w14:paraId="7968EE70">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14:paraId="7968E18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85" w:type="dxa"/>
            <w:tcBorders>
              <w:top w:val="nil"/>
              <w:left w:val="nil"/>
              <w:bottom w:val="nil"/>
              <w:right w:val="nil"/>
            </w:tcBorders>
            <w:shd w:val="clear" w:color="auto" w:fill="FFFFFF"/>
            <w:vAlign w:val="center"/>
          </w:tcPr>
          <w:p w14:paraId="3B5C9E83">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Clear Aperture</w:t>
            </w:r>
          </w:p>
        </w:tc>
        <w:tc>
          <w:tcPr>
            <w:tcW w:w="2169" w:type="dxa"/>
            <w:tcBorders>
              <w:top w:val="nil"/>
              <w:left w:val="nil"/>
              <w:bottom w:val="nil"/>
              <w:right w:val="nil"/>
            </w:tcBorders>
            <w:shd w:val="clear" w:color="auto" w:fill="FFFFFF"/>
            <w:vAlign w:val="center"/>
          </w:tcPr>
          <w:p w14:paraId="6B39C960">
            <w:pPr>
              <w:spacing w:line="240" w:lineRule="auto"/>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Φ</w:t>
            </w:r>
            <w:r>
              <w:rPr>
                <w:rFonts w:hint="eastAsia"/>
                <w:color w:val="000000" w:themeColor="text1"/>
                <w14:textFill>
                  <w14:solidFill>
                    <w14:schemeClr w14:val="tx1"/>
                  </w14:solidFill>
                </w14:textFill>
              </w:rPr>
              <w:t>590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mm</w:t>
            </w:r>
          </w:p>
        </w:tc>
        <w:tc>
          <w:tcPr>
            <w:tcW w:w="1754" w:type="dxa"/>
            <w:tcBorders>
              <w:top w:val="nil"/>
              <w:left w:val="nil"/>
              <w:bottom w:val="nil"/>
              <w:right w:val="nil"/>
            </w:tcBorders>
            <w:shd w:val="clear" w:color="auto" w:fill="FFFFFF"/>
            <w:vAlign w:val="center"/>
          </w:tcPr>
          <w:p w14:paraId="22EF5426">
            <w:pPr>
              <w:spacing w:line="240" w:lineRule="auto"/>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Φ</w:t>
            </w:r>
            <w:r>
              <w:rPr>
                <w:rFonts w:hint="eastAsia"/>
                <w:color w:val="000000" w:themeColor="text1"/>
                <w14:textFill>
                  <w14:solidFill>
                    <w14:schemeClr w14:val="tx1"/>
                  </w14:solidFill>
                </w14:textFill>
              </w:rPr>
              <w:t>174</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mm</w:t>
            </w:r>
          </w:p>
        </w:tc>
        <w:tc>
          <w:tcPr>
            <w:tcW w:w="1905" w:type="dxa"/>
            <w:tcBorders>
              <w:top w:val="nil"/>
              <w:left w:val="nil"/>
              <w:bottom w:val="nil"/>
              <w:right w:val="nil"/>
            </w:tcBorders>
            <w:shd w:val="clear" w:color="auto" w:fill="FFFFFF"/>
            <w:vAlign w:val="center"/>
          </w:tcPr>
          <w:p w14:paraId="527BFB6A">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56mm×78mm,</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ellipse</w:t>
            </w:r>
          </w:p>
        </w:tc>
      </w:tr>
      <w:tr w14:paraId="56C945D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85" w:type="dxa"/>
            <w:tcBorders>
              <w:top w:val="nil"/>
              <w:left w:val="nil"/>
              <w:bottom w:val="single" w:color="000000" w:sz="12" w:space="0"/>
              <w:right w:val="nil"/>
            </w:tcBorders>
            <w:shd w:val="clear" w:color="auto" w:fill="FFFFFF"/>
            <w:vAlign w:val="center"/>
          </w:tcPr>
          <w:p w14:paraId="47A0F7F2">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Coating</w:t>
            </w:r>
          </w:p>
        </w:tc>
        <w:tc>
          <w:tcPr>
            <w:tcW w:w="2169" w:type="dxa"/>
            <w:tcBorders>
              <w:top w:val="nil"/>
              <w:left w:val="nil"/>
              <w:bottom w:val="single" w:color="000000" w:sz="12" w:space="0"/>
              <w:right w:val="nil"/>
            </w:tcBorders>
            <w:shd w:val="clear" w:color="auto" w:fill="FFFFFF"/>
            <w:vAlign w:val="center"/>
          </w:tcPr>
          <w:p w14:paraId="0554DB28">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Protected Aluminum</w:t>
            </w:r>
          </w:p>
        </w:tc>
        <w:tc>
          <w:tcPr>
            <w:tcW w:w="1754" w:type="dxa"/>
            <w:tcBorders>
              <w:top w:val="nil"/>
              <w:left w:val="nil"/>
              <w:bottom w:val="single" w:color="000000" w:sz="12" w:space="0"/>
              <w:right w:val="nil"/>
            </w:tcBorders>
            <w:shd w:val="clear" w:color="auto" w:fill="FFFFFF"/>
            <w:vAlign w:val="center"/>
          </w:tcPr>
          <w:p w14:paraId="236831A6">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Protected Silver</w:t>
            </w:r>
          </w:p>
        </w:tc>
        <w:tc>
          <w:tcPr>
            <w:tcW w:w="1905" w:type="dxa"/>
            <w:tcBorders>
              <w:top w:val="nil"/>
              <w:left w:val="nil"/>
              <w:bottom w:val="single" w:color="000000" w:sz="12" w:space="0"/>
              <w:right w:val="nil"/>
            </w:tcBorders>
            <w:shd w:val="clear" w:color="auto" w:fill="FFFFFF"/>
            <w:vAlign w:val="center"/>
          </w:tcPr>
          <w:p w14:paraId="6F4575E8">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Protected Silver</w:t>
            </w:r>
          </w:p>
        </w:tc>
      </w:tr>
    </w:tbl>
    <w:p w14:paraId="0289D713">
      <w:pPr>
        <w:spacing w:line="24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The parameter design of the SDM and its HS WFS is directly related to the telescope system and the atmospheric conditions at the site. The 600 mm SAOT is to be installed at Lijiang Observatory, which is located on the top of Tiejia Mountain, near the Gaomeigu village, Lijiang City, Yunnan Province</w:t>
      </w:r>
      <w:r>
        <w:rPr>
          <w:rFonts w:hint="eastAsia"/>
          <w:color w:val="000000" w:themeColor="text1"/>
          <w14:textFill>
            <w14:solidFill>
              <w14:schemeClr w14:val="tx1"/>
            </w14:solidFill>
          </w14:textFill>
        </w:rPr>
        <w:t xml:space="preserve"> in</w:t>
      </w:r>
      <w:r>
        <w:rPr>
          <w:color w:val="000000" w:themeColor="text1"/>
          <w14:textFill>
            <w14:solidFill>
              <w14:schemeClr w14:val="tx1"/>
            </w14:solidFill>
          </w14:textFill>
        </w:rPr>
        <w:t xml:space="preserve"> China (E</w:t>
      </w:r>
      <w:r>
        <w:rPr>
          <w:rFonts w:hint="eastAsia"/>
          <w:color w:val="000000" w:themeColor="text1"/>
          <w14:textFill>
            <w14:solidFill>
              <w14:schemeClr w14:val="tx1"/>
            </w14:solidFill>
          </w14:textFill>
        </w:rPr>
        <w:t>ast</w:t>
      </w:r>
      <w:r>
        <w:rPr>
          <w:color w:val="000000" w:themeColor="text1"/>
          <w14:textFill>
            <w14:solidFill>
              <w14:schemeClr w14:val="tx1"/>
            </w14:solidFill>
          </w14:textFill>
        </w:rPr>
        <w:t>:100°01'48'', N</w:t>
      </w:r>
      <w:r>
        <w:rPr>
          <w:rFonts w:hint="eastAsia"/>
          <w:color w:val="000000" w:themeColor="text1"/>
          <w14:textFill>
            <w14:solidFill>
              <w14:schemeClr w14:val="tx1"/>
            </w14:solidFill>
          </w14:textFill>
        </w:rPr>
        <w:t>orth</w:t>
      </w:r>
      <w:r>
        <w:rPr>
          <w:color w:val="000000" w:themeColor="text1"/>
          <w14:textFill>
            <w14:solidFill>
              <w14:schemeClr w14:val="tx1"/>
            </w14:solidFill>
          </w14:textFill>
        </w:rPr>
        <w:t>: 26°41'42'', at the height of 3200 m) [</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 xml:space="preserve">]. The Lijiang Observatory is the biggest optical astronomical site in southern China. Atmospheric </w:t>
      </w:r>
      <w:r>
        <w:rPr>
          <w:rFonts w:hint="eastAsia"/>
          <w:color w:val="000000" w:themeColor="text1"/>
          <w14:textFill>
            <w14:solidFill>
              <w14:schemeClr w14:val="tx1"/>
            </w14:solidFill>
          </w14:textFill>
        </w:rPr>
        <w:t>seeing condition</w:t>
      </w:r>
      <w:r>
        <w:rPr>
          <w:color w:val="000000" w:themeColor="text1"/>
          <w14:textFill>
            <w14:solidFill>
              <w14:schemeClr w14:val="tx1"/>
            </w14:solidFill>
          </w14:textFill>
        </w:rPr>
        <w:t xml:space="preserve"> at night ranges from 0.5'' to 5.5'', and the annual statistical mean </w:t>
      </w:r>
      <w:r>
        <w:rPr>
          <w:rFonts w:hint="eastAsia"/>
          <w:color w:val="000000" w:themeColor="text1"/>
          <w14:textFill>
            <w14:solidFill>
              <w14:schemeClr w14:val="tx1"/>
            </w14:solidFill>
          </w14:textFill>
        </w:rPr>
        <w:t>seeing</w:t>
      </w:r>
      <w:r>
        <w:rPr>
          <w:color w:val="000000" w:themeColor="text1"/>
          <w14:textFill>
            <w14:solidFill>
              <w14:schemeClr w14:val="tx1"/>
            </w14:solidFill>
          </w14:textFill>
        </w:rPr>
        <w:t xml:space="preserve"> is about 1.16'', equivalent to 9.8 cm</w:t>
      </w:r>
      <w:r>
        <w:rPr>
          <w:i/>
          <w:iCs/>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of </w:t>
      </w:r>
      <w:r>
        <w:rPr>
          <w:color w:val="000000" w:themeColor="text1"/>
          <w14:textFill>
            <w14:solidFill>
              <w14:schemeClr w14:val="tx1"/>
            </w14:solidFill>
          </w14:textFill>
        </w:rPr>
        <w:t>atmospheric coherence length</w:t>
      </w:r>
      <w:r>
        <w:rPr>
          <w:rFonts w:hint="eastAsia"/>
          <w:color w:val="000000" w:themeColor="text1"/>
          <w14:textFill>
            <w14:solidFill>
              <w14:schemeClr w14:val="tx1"/>
            </w14:solidFill>
          </w14:textFill>
        </w:rPr>
        <w:t xml:space="preserve"> </w:t>
      </w:r>
      <w:r>
        <w:rPr>
          <w:i/>
          <w:iCs/>
          <w:color w:val="000000" w:themeColor="text1"/>
          <w14:textFill>
            <w14:solidFill>
              <w14:schemeClr w14:val="tx1"/>
            </w14:solidFill>
          </w14:textFill>
        </w:rPr>
        <w:t>r</w:t>
      </w:r>
      <w:r>
        <w:rPr>
          <w:color w:val="000000" w:themeColor="text1"/>
          <w:vertAlign w:val="subscript"/>
          <w14:textFill>
            <w14:solidFill>
              <w14:schemeClr w14:val="tx1"/>
            </w14:solidFill>
          </w14:textFill>
        </w:rPr>
        <w:t>0</w:t>
      </w:r>
      <w:r>
        <w:rPr>
          <w:rFonts w:hint="eastAsia"/>
          <w:color w:val="000000" w:themeColor="text1"/>
          <w:vertAlign w:val="subscript"/>
          <w14:textFill>
            <w14:solidFill>
              <w14:schemeClr w14:val="tx1"/>
            </w14:solidFill>
          </w14:textFill>
        </w:rPr>
        <w:t xml:space="preserve"> </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 xml:space="preserve">]. Influenced by solar radiation, the </w:t>
      </w:r>
      <w:r>
        <w:rPr>
          <w:rFonts w:hint="eastAsia"/>
          <w:color w:val="000000" w:themeColor="text1"/>
          <w14:textFill>
            <w14:solidFill>
              <w14:schemeClr w14:val="tx1"/>
            </w14:solidFill>
          </w14:textFill>
        </w:rPr>
        <w:t>seeing condition</w:t>
      </w:r>
      <w:r>
        <w:rPr>
          <w:color w:val="000000" w:themeColor="text1"/>
          <w14:textFill>
            <w14:solidFill>
              <w14:schemeClr w14:val="tx1"/>
            </w14:solidFill>
          </w14:textFill>
        </w:rPr>
        <w:t xml:space="preserve"> at Lijiang Observation Station is worse in the daytime than at night. According to our measurement results of </w:t>
      </w:r>
      <w:r>
        <w:rPr>
          <w:rFonts w:hint="eastAsia"/>
          <w:color w:val="000000" w:themeColor="text1"/>
          <w14:textFill>
            <w14:solidFill>
              <w14:schemeClr w14:val="tx1"/>
            </w14:solidFill>
          </w14:textFill>
        </w:rPr>
        <w:t>seeing condition</w:t>
      </w:r>
      <w:r>
        <w:rPr>
          <w:color w:val="000000" w:themeColor="text1"/>
          <w14:textFill>
            <w14:solidFill>
              <w14:schemeClr w14:val="tx1"/>
            </w14:solidFill>
          </w14:textFill>
        </w:rPr>
        <w:t xml:space="preserve">s in some daytime around April 2013, between 9:00 a.m. and 6:00 p.m., the atmospheric coherence length </w:t>
      </w:r>
      <w:r>
        <w:rPr>
          <w:i/>
          <w:iCs/>
          <w:color w:val="000000" w:themeColor="text1"/>
          <w14:textFill>
            <w14:solidFill>
              <w14:schemeClr w14:val="tx1"/>
            </w14:solidFill>
          </w14:textFill>
        </w:rPr>
        <w:t>r</w:t>
      </w:r>
      <w:r>
        <w:rPr>
          <w:color w:val="000000" w:themeColor="text1"/>
          <w:vertAlign w:val="subscript"/>
          <w14:textFill>
            <w14:solidFill>
              <w14:schemeClr w14:val="tx1"/>
            </w14:solidFill>
          </w14:textFill>
        </w:rPr>
        <w:t>0</w:t>
      </w:r>
      <w:r>
        <w:rPr>
          <w:color w:val="000000" w:themeColor="text1"/>
          <w14:textFill>
            <w14:solidFill>
              <w14:schemeClr w14:val="tx1"/>
            </w14:solidFill>
          </w14:textFill>
        </w:rPr>
        <w:t xml:space="preserve"> in the daytime firstly decreased rapidly from 11.5 cm to about 1.5 cm at noon. It then slowly rose to about 6</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 xml:space="preserve"> cm after 2:30 p.m.</w:t>
      </w:r>
    </w:p>
    <w:p w14:paraId="7D0CB8AF">
      <w:pPr>
        <w:spacing w:line="24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 xml:space="preserve">In this </w:t>
      </w:r>
      <w:r>
        <w:rPr>
          <w:rFonts w:hint="eastAsia"/>
          <w:color w:val="000000" w:themeColor="text1"/>
          <w14:textFill>
            <w14:solidFill>
              <w14:schemeClr w14:val="tx1"/>
            </w14:solidFill>
          </w14:textFill>
        </w:rPr>
        <w:t>work</w:t>
      </w:r>
      <w:r>
        <w:rPr>
          <w:color w:val="000000" w:themeColor="text1"/>
          <w14:textFill>
            <w14:solidFill>
              <w14:schemeClr w14:val="tx1"/>
            </w14:solidFill>
          </w14:textFill>
        </w:rPr>
        <w:t xml:space="preserve">, the measured atmospheric coherence length data were fitted. The median value was taken as the design basis for the SDM in the 600 mm SAOT system. </w:t>
      </w:r>
      <w:r>
        <w:rPr>
          <w:rFonts w:hint="eastAsia"/>
          <w:color w:val="000000" w:themeColor="text1"/>
          <w14:textFill>
            <w14:solidFill>
              <w14:schemeClr w14:val="tx1"/>
            </w14:solidFill>
          </w14:textFill>
        </w:rPr>
        <w:t>A</w:t>
      </w:r>
      <w:r>
        <w:rPr>
          <w:color w:val="000000" w:themeColor="text1"/>
          <w14:textFill>
            <w14:solidFill>
              <w14:schemeClr w14:val="tx1"/>
            </w14:solidFill>
          </w14:textFill>
        </w:rPr>
        <w:t>s shown in Fig.</w:t>
      </w:r>
      <w:r>
        <w:rPr>
          <w:rFonts w:hint="eastAsia"/>
          <w:color w:val="000000" w:themeColor="text1"/>
          <w14:textFill>
            <w14:solidFill>
              <w14:schemeClr w14:val="tx1"/>
            </w14:solidFill>
          </w14:textFill>
        </w:rPr>
        <w:t xml:space="preserve"> S2, corresponding to the fitting data, the best and worst r0 are about 9.75cm and 0.75cm</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respectively, and the median value is about 4.5 cm. </w:t>
      </w:r>
      <w:r>
        <w:rPr>
          <w:color w:val="000000" w:themeColor="text1"/>
          <w14:textFill>
            <w14:solidFill>
              <w14:schemeClr w14:val="tx1"/>
            </w14:solidFill>
          </w14:textFill>
        </w:rPr>
        <w:t xml:space="preserve">According to the corresponding relationship of different spectral atmospheric coherence lengths, the equivalent </w:t>
      </w:r>
      <w:r>
        <w:rPr>
          <w:i/>
          <w:iCs/>
          <w:color w:val="000000" w:themeColor="text1"/>
          <w14:textFill>
            <w14:solidFill>
              <w14:schemeClr w14:val="tx1"/>
            </w14:solidFill>
          </w14:textFill>
        </w:rPr>
        <w:t>r</w:t>
      </w:r>
      <w:r>
        <w:rPr>
          <w:color w:val="000000" w:themeColor="text1"/>
          <w:vertAlign w:val="subscript"/>
          <w14:textFill>
            <w14:solidFill>
              <w14:schemeClr w14:val="tx1"/>
            </w14:solidFill>
          </w14:textFill>
        </w:rPr>
        <w:t>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at </w:t>
      </w:r>
      <w:r>
        <w:rPr>
          <w:color w:val="000000" w:themeColor="text1"/>
          <w14:textFill>
            <w14:solidFill>
              <w14:schemeClr w14:val="tx1"/>
            </w14:solidFill>
          </w14:textFill>
        </w:rPr>
        <w:t xml:space="preserve">the </w:t>
      </w:r>
      <w:r>
        <w:rPr>
          <w:rFonts w:hint="eastAsia"/>
          <w:color w:val="000000" w:themeColor="text1"/>
          <w14:textFill>
            <w14:solidFill>
              <w14:schemeClr w14:val="tx1"/>
            </w14:solidFill>
          </w14:textFill>
        </w:rPr>
        <w:t xml:space="preserve">TiO band </w:t>
      </w:r>
      <w:r>
        <w:rPr>
          <w:color w:val="000000" w:themeColor="text1"/>
          <w14:textFill>
            <w14:solidFill>
              <w14:schemeClr w14:val="tx1"/>
            </w14:solidFill>
          </w14:textFill>
        </w:rPr>
        <w:t>can be analyzed to be about 6.07 cm</w:t>
      </w:r>
      <w:r>
        <w:rPr>
          <w:rFonts w:hint="eastAsia"/>
          <w:color w:val="000000" w:themeColor="text1"/>
          <w14:textFill>
            <w14:solidFill>
              <w14:schemeClr w14:val="tx1"/>
            </w14:solidFill>
          </w14:textFill>
        </w:rPr>
        <w:t xml:space="preserve">, which is the design reference of HS WFS and SDM in </w:t>
      </w:r>
      <w:r>
        <w:rPr>
          <w:color w:val="000000" w:themeColor="text1"/>
          <w14:textFill>
            <w14:solidFill>
              <w14:schemeClr w14:val="tx1"/>
            </w14:solidFill>
          </w14:textFill>
        </w:rPr>
        <w:t xml:space="preserve">the </w:t>
      </w:r>
      <w:r>
        <w:rPr>
          <w:rFonts w:hint="eastAsia"/>
          <w:color w:val="000000" w:themeColor="text1"/>
          <w14:textFill>
            <w14:solidFill>
              <w14:schemeClr w14:val="tx1"/>
            </w14:solidFill>
          </w14:textFill>
        </w:rPr>
        <w:t>600 mm SAOT system.</w:t>
      </w:r>
    </w:p>
    <w:p w14:paraId="6C160809">
      <w:pPr>
        <w:spacing w:line="240" w:lineRule="auto"/>
        <w:ind w:firstLine="0" w:firstLineChars="0"/>
        <w:jc w:val="center"/>
        <w:rPr>
          <w:rFonts w:cs="Times New Roman"/>
        </w:rPr>
      </w:pPr>
      <w:r>
        <w:rPr>
          <w:rFonts w:cs="Times New Roman"/>
        </w:rPr>
        <w:drawing>
          <wp:inline distT="0" distB="0" distL="0" distR="0">
            <wp:extent cx="5012055" cy="3239770"/>
            <wp:effectExtent l="0" t="0" r="0" b="0"/>
            <wp:docPr id="28"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pic:cNvPicPr>
                      <a:picLocks noChangeAspect="1"/>
                    </pic:cNvPicPr>
                  </pic:nvPicPr>
                  <pic:blipFill>
                    <a:blip r:embed="rId13"/>
                    <a:stretch>
                      <a:fillRect/>
                    </a:stretch>
                  </pic:blipFill>
                  <pic:spPr>
                    <a:xfrm>
                      <a:off x="0" y="0"/>
                      <a:ext cx="5012627" cy="3240000"/>
                    </a:xfrm>
                    <a:prstGeom prst="rect">
                      <a:avLst/>
                    </a:prstGeom>
                  </pic:spPr>
                </pic:pic>
              </a:graphicData>
            </a:graphic>
          </wp:inline>
        </w:drawing>
      </w:r>
    </w:p>
    <w:p w14:paraId="243F38C8">
      <w:pPr>
        <w:spacing w:line="240" w:lineRule="auto"/>
        <w:ind w:firstLine="0" w:firstLineChars="0"/>
        <w:rPr>
          <w:rFonts w:cs="Times New Roman"/>
        </w:rPr>
      </w:pPr>
      <w:r>
        <w:rPr>
          <w:rFonts w:cs="Times New Roman"/>
          <w:b/>
          <w:bCs/>
        </w:rPr>
        <w:t>Fig. S</w:t>
      </w:r>
      <w:r>
        <w:rPr>
          <w:rFonts w:hint="eastAsia" w:cs="Times New Roman"/>
          <w:b/>
          <w:bCs/>
        </w:rPr>
        <w:t>2</w:t>
      </w:r>
      <w:r>
        <w:rPr>
          <w:rFonts w:cs="Times New Roman"/>
        </w:rPr>
        <w:t xml:space="preserve"> </w:t>
      </w:r>
      <w:r>
        <w:rPr>
          <w:rFonts w:hint="eastAsia"/>
          <w:color w:val="000000" w:themeColor="text1"/>
          <w14:textFill>
            <w14:solidFill>
              <w14:schemeClr w14:val="tx1"/>
            </w14:solidFill>
          </w14:textFill>
        </w:rPr>
        <w:t xml:space="preserve">Atmospheric coherent length </w:t>
      </w:r>
      <w:r>
        <w:rPr>
          <w:rFonts w:hint="eastAsia"/>
          <w:i/>
          <w:iCs/>
          <w:color w:val="000000" w:themeColor="text1"/>
          <w14:textFill>
            <w14:solidFill>
              <w14:schemeClr w14:val="tx1"/>
            </w14:solidFill>
          </w14:textFill>
        </w:rPr>
        <w:t>r</w:t>
      </w:r>
      <w:r>
        <w:rPr>
          <w:rFonts w:hint="eastAsia"/>
          <w:color w:val="000000" w:themeColor="text1"/>
          <w:vertAlign w:val="subscript"/>
          <w14:textFill>
            <w14:solidFill>
              <w14:schemeClr w14:val="tx1"/>
            </w14:solidFill>
          </w14:textFill>
        </w:rPr>
        <w:t>0</w:t>
      </w:r>
      <w:r>
        <w:rPr>
          <w:rFonts w:hint="eastAsia"/>
          <w:color w:val="000000" w:themeColor="text1"/>
          <w14:textFill>
            <w14:solidFill>
              <w14:schemeClr w14:val="tx1"/>
            </w14:solidFill>
          </w14:textFill>
        </w:rPr>
        <w:t xml:space="preserve"> varies with time during daytime at Lijiang Observatory (blue dash line: fitting data; red dash line: median value).</w:t>
      </w:r>
    </w:p>
    <w:p w14:paraId="28721FB5">
      <w:pPr>
        <w:spacing w:line="24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 xml:space="preserve">The SDM in the 600 mm SAOT system adopts a discrete actuator </w:t>
      </w:r>
      <w:r>
        <w:rPr>
          <w:rFonts w:hint="eastAsia"/>
          <w:color w:val="000000" w:themeColor="text1"/>
          <w14:textFill>
            <w14:solidFill>
              <w14:schemeClr w14:val="tx1"/>
            </w14:solidFill>
          </w14:textFill>
        </w:rPr>
        <w:t xml:space="preserve">and </w:t>
      </w:r>
      <w:r>
        <w:rPr>
          <w:color w:val="000000" w:themeColor="text1"/>
          <w14:textFill>
            <w14:solidFill>
              <w14:schemeClr w14:val="tx1"/>
            </w14:solidFill>
          </w14:textFill>
        </w:rPr>
        <w:t xml:space="preserve">continuous </w:t>
      </w:r>
      <w:r>
        <w:rPr>
          <w:rFonts w:hint="eastAsia"/>
          <w:color w:val="000000" w:themeColor="text1"/>
          <w14:textFill>
            <w14:solidFill>
              <w14:schemeClr w14:val="tx1"/>
            </w14:solidFill>
          </w14:textFill>
        </w:rPr>
        <w:t xml:space="preserve">face </w:t>
      </w:r>
      <w:r>
        <w:rPr>
          <w:color w:val="000000" w:themeColor="text1"/>
          <w14:textFill>
            <w14:solidFill>
              <w14:schemeClr w14:val="tx1"/>
            </w14:solidFill>
          </w14:textFill>
        </w:rPr>
        <w:t xml:space="preserve">plate. </w:t>
      </w:r>
      <w:r>
        <w:rPr>
          <w:rFonts w:hint="eastAsia"/>
          <w:color w:val="000000" w:themeColor="text1"/>
          <w14:textFill>
            <w14:solidFill>
              <w14:schemeClr w14:val="tx1"/>
            </w14:solidFill>
          </w14:textFill>
        </w:rPr>
        <w:t>The p</w:t>
      </w:r>
      <w:r>
        <w:rPr>
          <w:color w:val="000000" w:themeColor="text1"/>
          <w14:textFill>
            <w14:solidFill>
              <w14:schemeClr w14:val="tx1"/>
            </w14:solidFill>
          </w14:textFill>
        </w:rPr>
        <w:t>iezoelectric PZT</w:t>
      </w:r>
      <w:r>
        <w:rPr>
          <w:rFonts w:hint="eastAsia"/>
          <w:color w:val="000000" w:themeColor="text1"/>
          <w14:textFill>
            <w14:solidFill>
              <w14:schemeClr w14:val="tx1"/>
            </w14:solidFill>
          </w14:textFill>
        </w:rPr>
        <w:t xml:space="preserve"> is used as the actuator material</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adopting its</w:t>
      </w:r>
      <w:r>
        <w:rPr>
          <w:color w:val="000000" w:themeColor="text1"/>
          <w14:textFill>
            <w14:solidFill>
              <w14:schemeClr w14:val="tx1"/>
            </w14:solidFill>
          </w14:textFill>
        </w:rPr>
        <w:t xml:space="preserve"> faster response and higher accuracy</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According to the early research results of Greenwood et al. [</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 xml:space="preserve">], the number of SDM actuators required for the atmospheric wavefront aberration correction ability, </w:t>
      </w:r>
      <w:r>
        <w:rPr>
          <w:i/>
          <w:iCs/>
          <w:color w:val="000000" w:themeColor="text1"/>
          <w14:textFill>
            <w14:solidFill>
              <w14:schemeClr w14:val="tx1"/>
            </w14:solidFill>
          </w14:textFill>
        </w:rPr>
        <w:t>N</w:t>
      </w:r>
      <w:r>
        <w:rPr>
          <w:i/>
          <w:iCs/>
          <w:color w:val="000000" w:themeColor="text1"/>
          <w:vertAlign w:val="subscript"/>
          <w14:textFill>
            <w14:solidFill>
              <w14:schemeClr w14:val="tx1"/>
            </w14:solidFill>
          </w14:textFill>
        </w:rPr>
        <w:t>act</w:t>
      </w:r>
      <w:r>
        <w:rPr>
          <w:color w:val="000000" w:themeColor="text1"/>
          <w14:textFill>
            <w14:solidFill>
              <w14:schemeClr w14:val="tx1"/>
            </w14:solidFill>
          </w14:textFill>
        </w:rPr>
        <w:t>, can be preliminarily determined as follows:</w:t>
      </w:r>
    </w:p>
    <w:p w14:paraId="3D372E6F">
      <w:pPr>
        <w:spacing w:line="240" w:lineRule="auto"/>
        <w:ind w:firstLine="0" w:firstLineChars="0"/>
        <w:jc w:val="right"/>
        <w:rPr>
          <w:color w:val="000000" w:themeColor="text1"/>
          <w14:textFill>
            <w14:solidFill>
              <w14:schemeClr w14:val="tx1"/>
            </w14:solidFill>
          </w14:textFill>
        </w:rPr>
      </w:pPr>
      <w:r>
        <w:rPr>
          <w:color w:val="000000" w:themeColor="text1"/>
          <w:position w:val="-28"/>
          <w14:textFill>
            <w14:solidFill>
              <w14:schemeClr w14:val="tx1"/>
            </w14:solidFill>
          </w14:textFill>
        </w:rPr>
        <w:object>
          <v:shape id="_x0000_i1025" o:spt="75" type="#_x0000_t75" style="height:43.2pt;width:172.8pt;" o:ole="t" filled="f" o:preferrelative="t" stroked="f" coordsize="21600,21600">
            <v:path/>
            <v:fill on="f" focussize="0,0"/>
            <v:stroke on="f" joinstyle="miter"/>
            <v:imagedata r:id="rId15" o:title=""/>
            <o:lock v:ext="edit" aspectratio="t"/>
            <w10:wrap type="none"/>
            <w10:anchorlock/>
          </v:shape>
          <o:OLEObject Type="Embed" ProgID="Equation.DSMT4" ShapeID="_x0000_i1025" DrawAspect="Content" ObjectID="_1468075725" r:id="rId14">
            <o:LockedField>false</o:LockedField>
          </o:OLEObject>
        </w:objec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(6)</w:t>
      </w:r>
    </w:p>
    <w:p w14:paraId="08FD1D56">
      <w:pPr>
        <w:spacing w:line="240" w:lineRule="auto"/>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 xml:space="preserve">Here, </w:t>
      </w:r>
      <w:r>
        <w:rPr>
          <w:i/>
          <w:iCs/>
          <w:color w:val="000000" w:themeColor="text1"/>
          <w14:textFill>
            <w14:solidFill>
              <w14:schemeClr w14:val="tx1"/>
            </w14:solidFill>
          </w14:textFill>
        </w:rPr>
        <w:t>σ</w:t>
      </w:r>
      <w:r>
        <w:rPr>
          <w:color w:val="000000" w:themeColor="text1"/>
          <w:vertAlign w:val="subscript"/>
          <w14:textFill>
            <w14:solidFill>
              <w14:schemeClr w14:val="tx1"/>
            </w14:solidFill>
          </w14:textFill>
        </w:rPr>
        <w:t>fitting</w:t>
      </w:r>
      <w:r>
        <w:rPr>
          <w:color w:val="000000" w:themeColor="text1"/>
          <w14:textFill>
            <w14:solidFill>
              <w14:schemeClr w14:val="tx1"/>
            </w14:solidFill>
          </w14:textFill>
        </w:rPr>
        <w:t xml:space="preserve"> refers to the fitting residual after atmospheric aberration correction by SDM, which is required to be below 0.1λ; </w:t>
      </w:r>
      <w:r>
        <w:rPr>
          <w:i/>
          <w:iCs/>
          <w:color w:val="000000" w:themeColor="text1"/>
          <w14:textFill>
            <w14:solidFill>
              <w14:schemeClr w14:val="tx1"/>
            </w14:solidFill>
          </w14:textFill>
        </w:rPr>
        <w:t>D</w:t>
      </w:r>
      <w:r>
        <w:rPr>
          <w:color w:val="000000" w:themeColor="text1"/>
          <w14:textFill>
            <w14:solidFill>
              <w14:schemeClr w14:val="tx1"/>
            </w14:solidFill>
          </w14:textFill>
        </w:rPr>
        <w:t xml:space="preserve"> is the light-through aperture of SAOT, which is 590 mm; </w:t>
      </w:r>
      <w:r>
        <w:rPr>
          <w:i/>
          <w:iCs/>
          <w:color w:val="000000" w:themeColor="text1"/>
          <w14:textFill>
            <w14:solidFill>
              <w14:schemeClr w14:val="tx1"/>
            </w14:solidFill>
          </w14:textFill>
        </w:rPr>
        <w:t>r</w:t>
      </w:r>
      <w:r>
        <w:rPr>
          <w:color w:val="000000" w:themeColor="text1"/>
          <w:vertAlign w:val="subscript"/>
          <w14:textFill>
            <w14:solidFill>
              <w14:schemeClr w14:val="tx1"/>
            </w14:solidFill>
          </w14:textFill>
        </w:rPr>
        <w:t>0</w:t>
      </w:r>
      <w:r>
        <w:rPr>
          <w:color w:val="000000" w:themeColor="text1"/>
          <w14:textFill>
            <w14:solidFill>
              <w14:schemeClr w14:val="tx1"/>
            </w14:solidFill>
          </w14:textFill>
        </w:rPr>
        <w:t xml:space="preserve"> is the equivalent atmospheric coherent length of the observation b</w:t>
      </w:r>
      <w:r>
        <w:rPr>
          <w:rFonts w:hint="eastAsia"/>
          <w:color w:val="000000" w:themeColor="text1"/>
          <w14:textFill>
            <w14:solidFill>
              <w14:schemeClr w14:val="tx1"/>
            </w14:solidFill>
          </w14:textFill>
        </w:rPr>
        <w:t>and, which is 6.07</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cm. Thus it can be preliminarily analyzed that the number of SDM actuators </w:t>
      </w:r>
      <w:r>
        <w:rPr>
          <w:rFonts w:hint="eastAsia"/>
          <w:i/>
          <w:iCs/>
          <w:color w:val="000000" w:themeColor="text1"/>
          <w14:textFill>
            <w14:solidFill>
              <w14:schemeClr w14:val="tx1"/>
            </w14:solidFill>
          </w14:textFill>
        </w:rPr>
        <w:t>N</w:t>
      </w:r>
      <w:r>
        <w:rPr>
          <w:rFonts w:hint="eastAsia"/>
          <w:color w:val="000000" w:themeColor="text1"/>
          <w:vertAlign w:val="subscript"/>
          <w14:textFill>
            <w14:solidFill>
              <w14:schemeClr w14:val="tx1"/>
            </w14:solidFill>
          </w14:textFill>
        </w:rPr>
        <w:t>act</w:t>
      </w:r>
      <w:r>
        <w:rPr>
          <w:rFonts w:hint="eastAsia"/>
          <w:color w:val="000000" w:themeColor="text1"/>
          <w14:textFill>
            <w14:solidFill>
              <w14:schemeClr w14:val="tx1"/>
            </w14:solidFill>
          </w14:textFill>
        </w:rPr>
        <w:t xml:space="preserve">≥60.95 </w:t>
      </w:r>
      <w:r>
        <w:rPr>
          <w:color w:val="000000" w:themeColor="text1"/>
          <w14:textFill>
            <w14:solidFill>
              <w14:schemeClr w14:val="tx1"/>
            </w14:solidFill>
          </w14:textFill>
        </w:rPr>
        <w:t>according</w:t>
      </w:r>
      <w:r>
        <w:rPr>
          <w:rFonts w:hint="eastAsia"/>
          <w:color w:val="000000" w:themeColor="text1"/>
          <w14:textFill>
            <w14:solidFill>
              <w14:schemeClr w14:val="tx1"/>
            </w14:solidFill>
          </w14:textFill>
        </w:rPr>
        <w:t xml:space="preserve"> to Eqn. (6). </w:t>
      </w:r>
      <w:r>
        <w:rPr>
          <w:color w:val="000000" w:themeColor="text1"/>
          <w14:textFill>
            <w14:solidFill>
              <w14:schemeClr w14:val="tx1"/>
            </w14:solidFill>
          </w14:textFill>
        </w:rPr>
        <w:t xml:space="preserve">In this system, </w:t>
      </w:r>
      <w:r>
        <w:rPr>
          <w:rFonts w:hint="eastAsia"/>
          <w:i/>
          <w:iCs/>
          <w:color w:val="000000" w:themeColor="text1"/>
          <w14:textFill>
            <w14:solidFill>
              <w14:schemeClr w14:val="tx1"/>
            </w14:solidFill>
          </w14:textFill>
        </w:rPr>
        <w:t>N</w:t>
      </w:r>
      <w:r>
        <w:rPr>
          <w:rFonts w:hint="eastAsia"/>
          <w:color w:val="000000" w:themeColor="text1"/>
          <w:vertAlign w:val="subscript"/>
          <w14:textFill>
            <w14:solidFill>
              <w14:schemeClr w14:val="tx1"/>
            </w14:solidFill>
          </w14:textFill>
        </w:rPr>
        <w:t>act</w:t>
      </w:r>
      <w:r>
        <w:rPr>
          <w:color w:val="000000" w:themeColor="text1"/>
          <w14:textFill>
            <w14:solidFill>
              <w14:schemeClr w14:val="tx1"/>
            </w14:solidFill>
          </w14:textFill>
        </w:rPr>
        <w:t xml:space="preserve"> is taken at 61, which coincides with the usual number of deformable mirror </w:t>
      </w:r>
      <w:r>
        <w:rPr>
          <w:rFonts w:hint="eastAsia"/>
          <w:color w:val="000000" w:themeColor="text1"/>
          <w14:textFill>
            <w14:solidFill>
              <w14:schemeClr w14:val="tx1"/>
            </w14:solidFill>
          </w14:textFill>
        </w:rPr>
        <w:t>actuators with hexagon distribution</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T</w:t>
      </w:r>
      <w:r>
        <w:rPr>
          <w:color w:val="000000" w:themeColor="text1"/>
          <w14:textFill>
            <w14:solidFill>
              <w14:schemeClr w14:val="tx1"/>
            </w14:solidFill>
          </w14:textFill>
        </w:rPr>
        <w:t xml:space="preserve">he initial </w:t>
      </w:r>
      <w:r>
        <w:rPr>
          <w:rFonts w:hint="eastAsia"/>
          <w:color w:val="000000" w:themeColor="text1"/>
          <w14:textFill>
            <w14:solidFill>
              <w14:schemeClr w14:val="tx1"/>
            </w14:solidFill>
          </w14:textFill>
        </w:rPr>
        <w:t xml:space="preserve">position of these actuators </w:t>
      </w:r>
      <w:r>
        <w:rPr>
          <w:color w:val="000000" w:themeColor="text1"/>
          <w14:textFill>
            <w14:solidFill>
              <w14:schemeClr w14:val="tx1"/>
            </w14:solidFill>
          </w14:textFill>
        </w:rPr>
        <w:t>is located</w:t>
      </w:r>
      <w:r>
        <w:rPr>
          <w:rFonts w:hint="eastAsia"/>
          <w:color w:val="000000" w:themeColor="text1"/>
          <w14:textFill>
            <w14:solidFill>
              <w14:schemeClr w14:val="tx1"/>
            </w14:solidFill>
          </w14:textFill>
        </w:rPr>
        <w:t xml:space="preserve"> uniformly </w:t>
      </w:r>
      <w:r>
        <w:rPr>
          <w:color w:val="000000" w:themeColor="text1"/>
          <w14:textFill>
            <w14:solidFill>
              <w14:schemeClr w14:val="tx1"/>
            </w14:solidFill>
          </w14:textFill>
        </w:rPr>
        <w:t xml:space="preserve">in </w:t>
      </w:r>
      <w:r>
        <w:rPr>
          <w:rFonts w:hint="eastAsia"/>
          <w:color w:val="000000" w:themeColor="text1"/>
          <w14:textFill>
            <w14:solidFill>
              <w14:schemeClr w14:val="tx1"/>
            </w14:solidFill>
          </w14:textFill>
        </w:rPr>
        <w:t>three rings with a center actuator, and the number of actuators in each ring are 6, 18 and 36</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 xml:space="preserve"> respectively.</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However, the actuator distribution of SDM should be optimized </w:t>
      </w:r>
      <w:r>
        <w:rPr>
          <w:color w:val="000000" w:themeColor="text1"/>
          <w14:textFill>
            <w14:solidFill>
              <w14:schemeClr w14:val="tx1"/>
            </w14:solidFill>
          </w14:textFill>
        </w:rPr>
        <w:t>for practical application, and this</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will be discussed in </w:t>
      </w:r>
      <w:r>
        <w:rPr>
          <w:rFonts w:hint="eastAsia"/>
          <w:color w:val="000000" w:themeColor="text1"/>
          <w14:textFill>
            <w14:solidFill>
              <w14:schemeClr w14:val="tx1"/>
            </w14:solidFill>
          </w14:textFill>
        </w:rPr>
        <w:t>the third part</w:t>
      </w:r>
      <w:r>
        <w:rPr>
          <w:color w:val="000000" w:themeColor="text1"/>
          <w14:textFill>
            <w14:solidFill>
              <w14:schemeClr w14:val="tx1"/>
            </w14:solidFill>
          </w14:textFill>
        </w:rPr>
        <w:t xml:space="preserve">. The detailed design parameters of SDM are shown in Table </w:t>
      </w:r>
      <w:r>
        <w:rPr>
          <w:rFonts w:hint="eastAsia"/>
          <w:color w:val="000000" w:themeColor="text1"/>
          <w14:textFill>
            <w14:solidFill>
              <w14:schemeClr w14:val="tx1"/>
            </w14:solidFill>
          </w14:textFill>
        </w:rPr>
        <w:t>S</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 xml:space="preserve"> </w:t>
      </w:r>
    </w:p>
    <w:p w14:paraId="715B2AE1">
      <w:pPr>
        <w:spacing w:line="240" w:lineRule="auto"/>
        <w:ind w:firstLine="0" w:firstLineChars="0"/>
        <w:jc w:val="center"/>
        <w:rPr>
          <w:color w:val="000000" w:themeColor="text1"/>
          <w14:textFill>
            <w14:solidFill>
              <w14:schemeClr w14:val="tx1"/>
            </w14:solidFill>
          </w14:textFill>
        </w:rPr>
      </w:pPr>
      <w:r>
        <w:rPr>
          <w:rFonts w:hint="eastAsia"/>
          <w:b/>
          <w:bCs/>
          <w:color w:val="000000" w:themeColor="text1"/>
          <w14:textFill>
            <w14:solidFill>
              <w14:schemeClr w14:val="tx1"/>
            </w14:solidFill>
          </w14:textFill>
        </w:rPr>
        <w:t>Table S3</w:t>
      </w:r>
      <w:r>
        <w:rPr>
          <w:rFonts w:hint="eastAsia"/>
          <w:color w:val="000000" w:themeColor="text1"/>
          <w14:textFill>
            <w14:solidFill>
              <w14:schemeClr w14:val="tx1"/>
            </w14:solidFill>
          </w14:textFill>
        </w:rPr>
        <w:t xml:space="preserve"> Parameters on 61-SDM</w:t>
      </w:r>
    </w:p>
    <w:tbl>
      <w:tblPr>
        <w:tblStyle w:val="5"/>
        <w:tblW w:w="6858"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31"/>
        <w:gridCol w:w="3827"/>
      </w:tblGrid>
      <w:tr w14:paraId="6DD2284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1" w:type="dxa"/>
            <w:tcBorders>
              <w:top w:val="single" w:color="000000" w:sz="12" w:space="0"/>
              <w:left w:val="nil"/>
              <w:bottom w:val="single" w:color="000000" w:sz="4" w:space="0"/>
              <w:right w:val="nil"/>
              <w:tl2br w:val="nil"/>
            </w:tcBorders>
            <w:shd w:val="clear" w:color="auto" w:fill="FFFFFF"/>
            <w:vAlign w:val="center"/>
          </w:tcPr>
          <w:p w14:paraId="5188F43F">
            <w:pPr>
              <w:spacing w:line="240" w:lineRule="auto"/>
              <w:ind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Parameter</w:t>
            </w:r>
          </w:p>
        </w:tc>
        <w:tc>
          <w:tcPr>
            <w:tcW w:w="3827" w:type="dxa"/>
            <w:tcBorders>
              <w:top w:val="single" w:color="000000" w:sz="12" w:space="0"/>
              <w:left w:val="nil"/>
              <w:bottom w:val="single" w:color="000000" w:sz="4" w:space="0"/>
              <w:right w:val="nil"/>
            </w:tcBorders>
            <w:shd w:val="clear" w:color="auto" w:fill="FFFFFF"/>
            <w:vAlign w:val="center"/>
          </w:tcPr>
          <w:p w14:paraId="0E0EEE21">
            <w:pPr>
              <w:spacing w:line="240" w:lineRule="auto"/>
              <w:ind w:firstLine="0" w:firstLineChars="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Value</w:t>
            </w:r>
          </w:p>
        </w:tc>
      </w:tr>
      <w:tr w14:paraId="0BCE2F7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1" w:type="dxa"/>
            <w:tcBorders>
              <w:top w:val="single" w:color="000000" w:sz="4" w:space="0"/>
              <w:left w:val="nil"/>
              <w:bottom w:val="nil"/>
              <w:right w:val="nil"/>
            </w:tcBorders>
            <w:shd w:val="clear" w:color="auto" w:fill="FFFFFF"/>
            <w:vAlign w:val="center"/>
          </w:tcPr>
          <w:p w14:paraId="325FFFCA">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Aperture size</w:t>
            </w:r>
          </w:p>
        </w:tc>
        <w:tc>
          <w:tcPr>
            <w:tcW w:w="3827" w:type="dxa"/>
            <w:tcBorders>
              <w:top w:val="single" w:color="000000" w:sz="4" w:space="0"/>
              <w:left w:val="nil"/>
              <w:bottom w:val="nil"/>
              <w:right w:val="nil"/>
            </w:tcBorders>
            <w:shd w:val="clear" w:color="auto" w:fill="FFFFFF"/>
            <w:vAlign w:val="center"/>
          </w:tcPr>
          <w:p w14:paraId="27E4B3B0">
            <w:pPr>
              <w:spacing w:line="240" w:lineRule="auto"/>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Φ</w:t>
            </w:r>
            <w:r>
              <w:rPr>
                <w:rFonts w:hint="eastAsia"/>
                <w:color w:val="000000" w:themeColor="text1"/>
                <w14:textFill>
                  <w14:solidFill>
                    <w14:schemeClr w14:val="tx1"/>
                  </w14:solidFill>
                </w14:textFill>
              </w:rPr>
              <w:t>210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mm</w:t>
            </w:r>
          </w:p>
        </w:tc>
      </w:tr>
      <w:tr w14:paraId="71F898C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1" w:type="dxa"/>
            <w:tcBorders>
              <w:top w:val="nil"/>
              <w:left w:val="nil"/>
              <w:bottom w:val="nil"/>
              <w:right w:val="nil"/>
            </w:tcBorders>
            <w:shd w:val="clear" w:color="auto" w:fill="FFFFFF"/>
            <w:vAlign w:val="center"/>
          </w:tcPr>
          <w:p w14:paraId="7FFFE1D6">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Clear aperture</w:t>
            </w:r>
          </w:p>
        </w:tc>
        <w:tc>
          <w:tcPr>
            <w:tcW w:w="3827" w:type="dxa"/>
            <w:tcBorders>
              <w:top w:val="nil"/>
              <w:left w:val="nil"/>
              <w:bottom w:val="nil"/>
              <w:right w:val="nil"/>
            </w:tcBorders>
            <w:shd w:val="clear" w:color="auto" w:fill="FFFFFF"/>
            <w:vAlign w:val="center"/>
          </w:tcPr>
          <w:p w14:paraId="1687C761">
            <w:pPr>
              <w:spacing w:line="240" w:lineRule="auto"/>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Φ</w:t>
            </w:r>
            <w:r>
              <w:rPr>
                <w:rFonts w:hint="eastAsia"/>
                <w:color w:val="000000" w:themeColor="text1"/>
                <w14:textFill>
                  <w14:solidFill>
                    <w14:schemeClr w14:val="tx1"/>
                  </w14:solidFill>
                </w14:textFill>
              </w:rPr>
              <w:t>174</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mm</w:t>
            </w:r>
          </w:p>
        </w:tc>
      </w:tr>
      <w:tr w14:paraId="19E1082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1" w:type="dxa"/>
            <w:tcBorders>
              <w:top w:val="nil"/>
              <w:left w:val="nil"/>
              <w:bottom w:val="nil"/>
              <w:right w:val="nil"/>
            </w:tcBorders>
            <w:shd w:val="clear" w:color="auto" w:fill="FFFFFF"/>
            <w:vAlign w:val="center"/>
          </w:tcPr>
          <w:p w14:paraId="690AABAA">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Freedom of correction</w:t>
            </w:r>
          </w:p>
        </w:tc>
        <w:tc>
          <w:tcPr>
            <w:tcW w:w="3827" w:type="dxa"/>
            <w:tcBorders>
              <w:top w:val="nil"/>
              <w:left w:val="nil"/>
              <w:bottom w:val="nil"/>
              <w:right w:val="nil"/>
            </w:tcBorders>
            <w:shd w:val="clear" w:color="auto" w:fill="FFFFFF"/>
            <w:vAlign w:val="center"/>
          </w:tcPr>
          <w:p w14:paraId="596885C7">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61</w:t>
            </w:r>
          </w:p>
        </w:tc>
      </w:tr>
      <w:tr w14:paraId="3D2CCB1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1" w:type="dxa"/>
            <w:tcBorders>
              <w:top w:val="nil"/>
              <w:left w:val="nil"/>
              <w:bottom w:val="nil"/>
              <w:right w:val="nil"/>
            </w:tcBorders>
            <w:shd w:val="clear" w:color="auto" w:fill="FFFFFF"/>
            <w:vAlign w:val="center"/>
          </w:tcPr>
          <w:p w14:paraId="69026003">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Actuator layout</w:t>
            </w:r>
          </w:p>
        </w:tc>
        <w:tc>
          <w:tcPr>
            <w:tcW w:w="3827" w:type="dxa"/>
            <w:tcBorders>
              <w:top w:val="nil"/>
              <w:left w:val="nil"/>
              <w:bottom w:val="nil"/>
              <w:right w:val="nil"/>
            </w:tcBorders>
            <w:shd w:val="clear" w:color="auto" w:fill="FFFFFF"/>
            <w:vAlign w:val="center"/>
          </w:tcPr>
          <w:p w14:paraId="1B2A3480">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Annular</w:t>
            </w:r>
          </w:p>
        </w:tc>
      </w:tr>
      <w:tr w14:paraId="480BB75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1" w:type="dxa"/>
            <w:tcBorders>
              <w:top w:val="nil"/>
              <w:left w:val="nil"/>
              <w:bottom w:val="nil"/>
              <w:right w:val="nil"/>
            </w:tcBorders>
            <w:shd w:val="clear" w:color="auto" w:fill="FFFFFF"/>
            <w:vAlign w:val="center"/>
          </w:tcPr>
          <w:p w14:paraId="7A7750B2">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Actuator material</w:t>
            </w:r>
          </w:p>
        </w:tc>
        <w:tc>
          <w:tcPr>
            <w:tcW w:w="3827" w:type="dxa"/>
            <w:tcBorders>
              <w:top w:val="nil"/>
              <w:left w:val="nil"/>
              <w:bottom w:val="nil"/>
              <w:right w:val="nil"/>
            </w:tcBorders>
            <w:shd w:val="clear" w:color="auto" w:fill="FFFFFF"/>
            <w:vAlign w:val="center"/>
          </w:tcPr>
          <w:p w14:paraId="4E5FB0BA">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PZT</w:t>
            </w:r>
          </w:p>
        </w:tc>
      </w:tr>
      <w:tr w14:paraId="4DBED85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1" w:type="dxa"/>
            <w:tcBorders>
              <w:top w:val="nil"/>
              <w:left w:val="nil"/>
              <w:bottom w:val="nil"/>
              <w:right w:val="nil"/>
            </w:tcBorders>
            <w:shd w:val="clear" w:color="auto" w:fill="FFFFFF"/>
            <w:vAlign w:val="center"/>
          </w:tcPr>
          <w:p w14:paraId="04859AC4">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Actuator spacing</w:t>
            </w:r>
          </w:p>
        </w:tc>
        <w:tc>
          <w:tcPr>
            <w:tcW w:w="3827" w:type="dxa"/>
            <w:tcBorders>
              <w:top w:val="nil"/>
              <w:left w:val="nil"/>
              <w:bottom w:val="nil"/>
              <w:right w:val="nil"/>
            </w:tcBorders>
            <w:shd w:val="clear" w:color="auto" w:fill="FFFFFF"/>
            <w:vAlign w:val="center"/>
          </w:tcPr>
          <w:p w14:paraId="148F04FB">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18.5</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mm(~62.8</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mm, mapping to PM)</w:t>
            </w:r>
          </w:p>
        </w:tc>
      </w:tr>
      <w:tr w14:paraId="4B3C803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031" w:type="dxa"/>
            <w:tcBorders>
              <w:top w:val="nil"/>
              <w:left w:val="nil"/>
              <w:bottom w:val="nil"/>
              <w:right w:val="nil"/>
            </w:tcBorders>
            <w:shd w:val="clear" w:color="auto" w:fill="FFFFFF"/>
            <w:vAlign w:val="center"/>
          </w:tcPr>
          <w:p w14:paraId="2D7F570E">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Actuator stroke</w:t>
            </w:r>
          </w:p>
        </w:tc>
        <w:tc>
          <w:tcPr>
            <w:tcW w:w="3827" w:type="dxa"/>
            <w:tcBorders>
              <w:top w:val="nil"/>
              <w:left w:val="nil"/>
              <w:bottom w:val="nil"/>
              <w:right w:val="nil"/>
            </w:tcBorders>
            <w:shd w:val="clear" w:color="auto" w:fill="FFFFFF"/>
            <w:vAlign w:val="center"/>
          </w:tcPr>
          <w:p w14:paraId="093B83D0">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 xml:space="preserve"> </w:t>
            </w:r>
            <w:r>
              <w:rPr>
                <w:rFonts w:cs="Times New Roman"/>
                <w:color w:val="000000" w:themeColor="text1"/>
                <w14:textFill>
                  <w14:solidFill>
                    <w14:schemeClr w14:val="tx1"/>
                  </w14:solidFill>
                </w14:textFill>
              </w:rPr>
              <w:t>μ</w:t>
            </w:r>
            <w:r>
              <w:rPr>
                <w:rFonts w:hint="eastAsia"/>
                <w:color w:val="000000" w:themeColor="text1"/>
                <w14:textFill>
                  <w14:solidFill>
                    <w14:schemeClr w14:val="tx1"/>
                  </w14:solidFill>
                </w14:textFill>
              </w:rPr>
              <w:t>m</w:t>
            </w:r>
          </w:p>
        </w:tc>
      </w:tr>
      <w:tr w14:paraId="0D5BF57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1" w:type="dxa"/>
            <w:tcBorders>
              <w:top w:val="nil"/>
              <w:left w:val="nil"/>
              <w:bottom w:val="single" w:color="000000" w:sz="12" w:space="0"/>
              <w:right w:val="nil"/>
            </w:tcBorders>
            <w:shd w:val="clear" w:color="auto" w:fill="FFFFFF"/>
            <w:vAlign w:val="center"/>
          </w:tcPr>
          <w:p w14:paraId="6B101DB7">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Coupling coefficient</w:t>
            </w:r>
          </w:p>
        </w:tc>
        <w:tc>
          <w:tcPr>
            <w:tcW w:w="3827" w:type="dxa"/>
            <w:tcBorders>
              <w:top w:val="nil"/>
              <w:left w:val="nil"/>
              <w:bottom w:val="single" w:color="000000" w:sz="12" w:space="0"/>
              <w:right w:val="nil"/>
            </w:tcBorders>
            <w:shd w:val="clear" w:color="auto" w:fill="FFFFFF"/>
            <w:vAlign w:val="center"/>
          </w:tcPr>
          <w:p w14:paraId="6450DDDB">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r>
    </w:tbl>
    <w:p w14:paraId="1BE3FCEB">
      <w:pPr>
        <w:spacing w:line="24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 xml:space="preserve">The </w:t>
      </w:r>
      <w:r>
        <w:rPr>
          <w:rFonts w:hint="eastAsia"/>
          <w:color w:val="000000" w:themeColor="text1"/>
          <w14:textFill>
            <w14:solidFill>
              <w14:schemeClr w14:val="tx1"/>
            </w14:solidFill>
          </w14:textFill>
        </w:rPr>
        <w:t xml:space="preserve">HS WFS </w:t>
      </w:r>
      <w:r>
        <w:rPr>
          <w:color w:val="000000" w:themeColor="text1"/>
          <w14:textFill>
            <w14:solidFill>
              <w14:schemeClr w14:val="tx1"/>
            </w14:solidFill>
          </w14:textFill>
        </w:rPr>
        <w:t>is critical for SDM to complete accurate correction, and its role is to detect wavefront aberration</w:t>
      </w:r>
      <w:r>
        <w:rPr>
          <w:rFonts w:hint="eastAsia"/>
          <w:color w:val="000000" w:themeColor="text1"/>
          <w14:textFill>
            <w14:solidFill>
              <w14:schemeClr w14:val="tx1"/>
            </w14:solidFill>
          </w14:textFill>
        </w:rPr>
        <w:t xml:space="preserve"> of incident light</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In this work, </w:t>
      </w:r>
      <w:r>
        <w:rPr>
          <w:color w:val="000000" w:themeColor="text1"/>
          <w14:textFill>
            <w14:solidFill>
              <w14:schemeClr w14:val="tx1"/>
            </w14:solidFill>
          </w14:textFill>
        </w:rPr>
        <w:t xml:space="preserve">600 mm SAOT adopts </w:t>
      </w:r>
      <w:r>
        <w:rPr>
          <w:rFonts w:hint="eastAsia"/>
          <w:color w:val="000000" w:themeColor="text1"/>
          <w14:textFill>
            <w14:solidFill>
              <w14:schemeClr w14:val="tx1"/>
            </w14:solidFill>
          </w14:textFill>
        </w:rPr>
        <w:t>a cross</w:t>
      </w:r>
      <w:r>
        <w:rPr>
          <w:color w:val="000000" w:themeColor="text1"/>
          <w14:textFill>
            <w14:solidFill>
              <w14:schemeClr w14:val="tx1"/>
            </w14:solidFill>
          </w14:textFill>
        </w:rPr>
        <w:t>-correlation HS WFS</w:t>
      </w:r>
      <w:r>
        <w:rPr>
          <w:rFonts w:hint="eastAsia"/>
          <w:color w:val="000000" w:themeColor="text1"/>
          <w14:textFill>
            <w14:solidFill>
              <w14:schemeClr w14:val="tx1"/>
            </w14:solidFill>
          </w14:textFill>
        </w:rPr>
        <w:t>, which use</w:t>
      </w:r>
      <w:r>
        <w:rPr>
          <w:color w:val="000000" w:themeColor="text1"/>
          <w14:textFill>
            <w14:solidFill>
              <w14:schemeClr w14:val="tx1"/>
            </w14:solidFill>
          </w14:textFill>
        </w:rPr>
        <w:t>s</w:t>
      </w:r>
      <w:r>
        <w:rPr>
          <w:rFonts w:hint="eastAsia"/>
          <w:color w:val="000000" w:themeColor="text1"/>
          <w14:textFill>
            <w14:solidFill>
              <w14:schemeClr w14:val="tx1"/>
            </w14:solidFill>
          </w14:textFill>
        </w:rPr>
        <w:t xml:space="preserve"> the (normalized) cross-correlation or the other similar algorithm to estimate sub-image offset, due to </w:t>
      </w:r>
      <w:r>
        <w:rPr>
          <w:color w:val="000000" w:themeColor="text1"/>
          <w14:textFill>
            <w14:solidFill>
              <w14:schemeClr w14:val="tx1"/>
            </w14:solidFill>
          </w14:textFill>
        </w:rPr>
        <w:t xml:space="preserve">the </w:t>
      </w:r>
      <w:r>
        <w:rPr>
          <w:rFonts w:hint="eastAsia"/>
          <w:color w:val="000000" w:themeColor="text1"/>
          <w14:textFill>
            <w14:solidFill>
              <w14:schemeClr w14:val="tx1"/>
            </w14:solidFill>
          </w14:textFill>
        </w:rPr>
        <w:t xml:space="preserve">solar atmosphere </w:t>
      </w:r>
      <w:r>
        <w:rPr>
          <w:color w:val="000000" w:themeColor="text1"/>
          <w14:textFill>
            <w14:solidFill>
              <w14:schemeClr w14:val="tx1"/>
            </w14:solidFill>
          </w14:textFill>
        </w:rPr>
        <w:t>being</w:t>
      </w:r>
      <w:r>
        <w:rPr>
          <w:rFonts w:hint="eastAsia"/>
          <w:color w:val="000000" w:themeColor="text1"/>
          <w14:textFill>
            <w14:solidFill>
              <w14:schemeClr w14:val="tx1"/>
            </w14:solidFill>
          </w14:textFill>
        </w:rPr>
        <w:t xml:space="preserve"> an extended object</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The </w:t>
      </w:r>
      <w:r>
        <w:rPr>
          <w:color w:val="000000" w:themeColor="text1"/>
          <w14:textFill>
            <w14:solidFill>
              <w14:schemeClr w14:val="tx1"/>
            </w14:solidFill>
          </w14:textFill>
        </w:rPr>
        <w:t>HS WFS selects the center wavelength of 550 nm with</w:t>
      </w:r>
      <w:r>
        <w:rPr>
          <w:rFonts w:hint="eastAsia"/>
          <w:color w:val="000000" w:themeColor="text1"/>
          <w14:textFill>
            <w14:solidFill>
              <w14:schemeClr w14:val="tx1"/>
            </w14:solidFill>
          </w14:textFill>
        </w:rPr>
        <w:t xml:space="preserve"> about </w:t>
      </w:r>
      <w:r>
        <w:rPr>
          <w:color w:val="000000" w:themeColor="text1"/>
          <w14:textFill>
            <w14:solidFill>
              <w14:schemeClr w14:val="tx1"/>
            </w14:solidFill>
          </w14:textFill>
        </w:rPr>
        <w:t>10nm bandwidth for wavefront detection</w:t>
      </w:r>
      <w:r>
        <w:rPr>
          <w:rFonts w:hint="eastAsia"/>
          <w:color w:val="000000" w:themeColor="text1"/>
          <w14:textFill>
            <w14:solidFill>
              <w14:schemeClr w14:val="tx1"/>
            </w14:solidFill>
          </w14:textFill>
        </w:rPr>
        <w:t xml:space="preserve"> to avoid the imaging spectrum.</w:t>
      </w:r>
    </w:p>
    <w:p w14:paraId="146A896F">
      <w:pPr>
        <w:spacing w:line="24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To conduct high dynamic measurement of atmospheric wavefront aberration, a high frame frequency CMOS detector EoSens@CL</w:t>
      </w:r>
      <w:r>
        <w:rPr>
          <w:rFonts w:hint="eastAsia"/>
          <w:color w:val="000000" w:themeColor="text1"/>
          <w14:textFill>
            <w14:solidFill>
              <w14:schemeClr w14:val="tx1"/>
            </w14:solidFill>
          </w14:textFill>
        </w:rPr>
        <w:t xml:space="preserve"> is chosen</w:t>
      </w:r>
      <w:r>
        <w:rPr>
          <w:color w:val="000000" w:themeColor="text1"/>
          <w14:textFill>
            <w14:solidFill>
              <w14:schemeClr w14:val="tx1"/>
            </w14:solidFill>
          </w14:textFill>
        </w:rPr>
        <w:t>, which has a maximum frame frequency of up to 2000 fps and a high spatial resolution of 528×528 with 14 μm×14 μm pixel size. To achieve the best balance between wavefront detection frequency and pixel resolution</w:t>
      </w:r>
      <w:r>
        <w:rPr>
          <w:rFonts w:hint="eastAsia"/>
          <w:color w:val="000000" w:themeColor="text1"/>
          <w14:textFill>
            <w14:solidFill>
              <w14:schemeClr w14:val="tx1"/>
            </w14:solidFill>
          </w14:textFill>
        </w:rPr>
        <w:t xml:space="preserve"> of each sub-aperture</w:t>
      </w:r>
      <w:r>
        <w:rPr>
          <w:color w:val="000000" w:themeColor="text1"/>
          <w14:textFill>
            <w14:solidFill>
              <w14:schemeClr w14:val="tx1"/>
            </w14:solidFill>
          </w14:textFill>
        </w:rPr>
        <w:t>, we design a 12×12 square lenslet array with a single sub-aperture size of 500 μm and a sub-aperture focal length of 30</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mm</w:t>
      </w:r>
      <w:r>
        <w:rPr>
          <w:rFonts w:hint="eastAsia"/>
          <w:color w:val="000000" w:themeColor="text1"/>
          <w14:textFill>
            <w14:solidFill>
              <w14:schemeClr w14:val="tx1"/>
            </w14:solidFill>
          </w14:textFill>
        </w:rPr>
        <w:t xml:space="preserve">. Each lenslet </w:t>
      </w:r>
      <w:r>
        <w:rPr>
          <w:color w:val="000000" w:themeColor="text1"/>
          <w14:textFill>
            <w14:solidFill>
              <w14:schemeClr w14:val="tx1"/>
            </w14:solidFill>
          </w14:textFill>
        </w:rPr>
        <w:t>cover</w:t>
      </w:r>
      <w:r>
        <w:rPr>
          <w:rFonts w:hint="eastAsia"/>
          <w:color w:val="000000" w:themeColor="text1"/>
          <w14:textFill>
            <w14:solidFill>
              <w14:schemeClr w14:val="tx1"/>
            </w14:solidFill>
          </w14:textFill>
        </w:rPr>
        <w:t>s</w:t>
      </w:r>
      <w:r>
        <w:rPr>
          <w:color w:val="000000" w:themeColor="text1"/>
          <w14:textFill>
            <w14:solidFill>
              <w14:schemeClr w14:val="tx1"/>
            </w14:solidFill>
          </w14:textFill>
        </w:rPr>
        <w:t xml:space="preserve"> about 36×36 pixels</w:t>
      </w:r>
      <w:r>
        <w:rPr>
          <w:rFonts w:hint="eastAsia"/>
          <w:color w:val="000000" w:themeColor="text1"/>
          <w14:textFill>
            <w14:solidFill>
              <w14:schemeClr w14:val="tx1"/>
            </w14:solidFill>
          </w14:textFill>
        </w:rPr>
        <w:t xml:space="preserve"> and </w:t>
      </w:r>
      <w:r>
        <w:rPr>
          <w:color w:val="000000" w:themeColor="text1"/>
          <w14:textFill>
            <w14:solidFill>
              <w14:schemeClr w14:val="tx1"/>
            </w14:solidFill>
          </w14:textFill>
        </w:rPr>
        <w:t>ensur</w:t>
      </w:r>
      <w:r>
        <w:rPr>
          <w:rFonts w:hint="eastAsia"/>
          <w:color w:val="000000" w:themeColor="text1"/>
          <w14:textFill>
            <w14:solidFill>
              <w14:schemeClr w14:val="tx1"/>
            </w14:solidFill>
          </w14:textFill>
        </w:rPr>
        <w:t>es</w:t>
      </w:r>
      <w:r>
        <w:rPr>
          <w:color w:val="000000" w:themeColor="text1"/>
          <w14:textFill>
            <w14:solidFill>
              <w14:schemeClr w14:val="tx1"/>
            </w14:solidFill>
          </w14:textFill>
        </w:rPr>
        <w:t xml:space="preserve"> that at least 2 pixels are sampled for diffraction-limit</w:t>
      </w:r>
      <w:r>
        <w:rPr>
          <w:rFonts w:hint="eastAsia"/>
          <w:color w:val="000000" w:themeColor="text1"/>
          <w14:textFill>
            <w14:solidFill>
              <w14:schemeClr w14:val="tx1"/>
            </w14:solidFill>
          </w14:textFill>
        </w:rPr>
        <w:t xml:space="preserve"> point spread function (PSF) in each micro-lenslet</w:t>
      </w:r>
      <w:r>
        <w:rPr>
          <w:color w:val="000000" w:themeColor="text1"/>
          <w14:textFill>
            <w14:solidFill>
              <w14:schemeClr w14:val="tx1"/>
            </w14:solidFill>
          </w14:textFill>
        </w:rPr>
        <w:t xml:space="preserve">. The detailed design parameters of HS WFS are shown in Table </w:t>
      </w:r>
      <w:r>
        <w:rPr>
          <w:rFonts w:hint="eastAsia"/>
          <w:color w:val="000000" w:themeColor="text1"/>
          <w:lang w:val="en-US" w:eastAsia="zh-CN"/>
          <w14:textFill>
            <w14:solidFill>
              <w14:schemeClr w14:val="tx1"/>
            </w14:solidFill>
          </w14:textFill>
        </w:rPr>
        <w:t>S</w:t>
      </w:r>
      <w:r>
        <w:rPr>
          <w:color w:val="000000" w:themeColor="text1"/>
          <w14:textFill>
            <w14:solidFill>
              <w14:schemeClr w14:val="tx1"/>
            </w14:solidFill>
          </w14:textFill>
        </w:rPr>
        <w:t>4.</w:t>
      </w:r>
    </w:p>
    <w:p w14:paraId="5627146E">
      <w:pPr>
        <w:spacing w:line="240" w:lineRule="auto"/>
        <w:ind w:firstLine="480"/>
        <w:rPr>
          <w:color w:val="000000" w:themeColor="text1"/>
          <w14:textFill>
            <w14:solidFill>
              <w14:schemeClr w14:val="tx1"/>
            </w14:solidFill>
          </w14:textFill>
        </w:rPr>
      </w:pPr>
    </w:p>
    <w:p w14:paraId="3447A723">
      <w:pPr>
        <w:spacing w:line="240" w:lineRule="auto"/>
        <w:ind w:firstLine="480"/>
        <w:rPr>
          <w:color w:val="000000" w:themeColor="text1"/>
          <w14:textFill>
            <w14:solidFill>
              <w14:schemeClr w14:val="tx1"/>
            </w14:solidFill>
          </w14:textFill>
        </w:rPr>
      </w:pPr>
    </w:p>
    <w:p w14:paraId="3BE3C820">
      <w:pPr>
        <w:spacing w:line="240" w:lineRule="auto"/>
        <w:ind w:firstLine="480"/>
        <w:rPr>
          <w:color w:val="000000" w:themeColor="text1"/>
          <w14:textFill>
            <w14:solidFill>
              <w14:schemeClr w14:val="tx1"/>
            </w14:solidFill>
          </w14:textFill>
        </w:rPr>
      </w:pPr>
    </w:p>
    <w:p w14:paraId="2C81485F">
      <w:pPr>
        <w:spacing w:line="240" w:lineRule="auto"/>
        <w:ind w:firstLine="480"/>
        <w:rPr>
          <w:color w:val="000000" w:themeColor="text1"/>
          <w14:textFill>
            <w14:solidFill>
              <w14:schemeClr w14:val="tx1"/>
            </w14:solidFill>
          </w14:textFill>
        </w:rPr>
      </w:pPr>
    </w:p>
    <w:p w14:paraId="76C228B2">
      <w:pPr>
        <w:spacing w:line="240" w:lineRule="auto"/>
        <w:ind w:firstLine="480"/>
        <w:rPr>
          <w:color w:val="000000" w:themeColor="text1"/>
          <w14:textFill>
            <w14:solidFill>
              <w14:schemeClr w14:val="tx1"/>
            </w14:solidFill>
          </w14:textFill>
        </w:rPr>
      </w:pPr>
    </w:p>
    <w:p w14:paraId="11A019BF">
      <w:pPr>
        <w:spacing w:line="240" w:lineRule="auto"/>
        <w:ind w:firstLine="480"/>
        <w:rPr>
          <w:color w:val="000000" w:themeColor="text1"/>
          <w14:textFill>
            <w14:solidFill>
              <w14:schemeClr w14:val="tx1"/>
            </w14:solidFill>
          </w14:textFill>
        </w:rPr>
      </w:pPr>
    </w:p>
    <w:p w14:paraId="46086936">
      <w:pPr>
        <w:spacing w:line="240" w:lineRule="auto"/>
        <w:ind w:firstLine="0" w:firstLineChars="0"/>
        <w:jc w:val="center"/>
        <w:rPr>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Table </w:t>
      </w:r>
      <w:r>
        <w:rPr>
          <w:rFonts w:hint="eastAsia"/>
          <w:b/>
          <w:bCs/>
          <w:color w:val="000000" w:themeColor="text1"/>
          <w:lang w:val="en-US" w:eastAsia="zh-CN"/>
          <w14:textFill>
            <w14:solidFill>
              <w14:schemeClr w14:val="tx1"/>
            </w14:solidFill>
          </w14:textFill>
        </w:rPr>
        <w:t>S</w:t>
      </w:r>
      <w:r>
        <w:rPr>
          <w:rFonts w:hint="eastAsia"/>
          <w:b/>
          <w:bCs/>
          <w:color w:val="000000" w:themeColor="text1"/>
          <w14:textFill>
            <w14:solidFill>
              <w14:schemeClr w14:val="tx1"/>
            </w14:solidFill>
          </w14:textFill>
        </w:rPr>
        <w:t>4</w:t>
      </w:r>
      <w:r>
        <w:rPr>
          <w:rFonts w:hint="eastAsia"/>
          <w:color w:val="000000" w:themeColor="text1"/>
          <w14:textFill>
            <w14:solidFill>
              <w14:schemeClr w14:val="tx1"/>
            </w14:solidFill>
          </w14:textFill>
        </w:rPr>
        <w:t xml:space="preserve"> Parameters of HS WFS</w:t>
      </w:r>
    </w:p>
    <w:tbl>
      <w:tblPr>
        <w:tblStyle w:val="5"/>
        <w:tblW w:w="6858"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31"/>
        <w:gridCol w:w="3827"/>
      </w:tblGrid>
      <w:tr w14:paraId="78008E9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031" w:type="dxa"/>
            <w:tcBorders>
              <w:top w:val="single" w:color="000000" w:sz="12" w:space="0"/>
              <w:left w:val="nil"/>
              <w:bottom w:val="single" w:color="000000" w:sz="4" w:space="0"/>
              <w:right w:val="nil"/>
              <w:tl2br w:val="nil"/>
            </w:tcBorders>
            <w:shd w:val="clear" w:color="auto" w:fill="FFFFFF"/>
            <w:vAlign w:val="center"/>
          </w:tcPr>
          <w:p w14:paraId="4BB918A1">
            <w:pPr>
              <w:spacing w:line="240" w:lineRule="auto"/>
              <w:ind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Parameter</w:t>
            </w:r>
          </w:p>
        </w:tc>
        <w:tc>
          <w:tcPr>
            <w:tcW w:w="3827" w:type="dxa"/>
            <w:tcBorders>
              <w:top w:val="single" w:color="000000" w:sz="12" w:space="0"/>
              <w:left w:val="nil"/>
              <w:bottom w:val="single" w:color="000000" w:sz="4" w:space="0"/>
              <w:right w:val="nil"/>
            </w:tcBorders>
            <w:shd w:val="clear" w:color="auto" w:fill="FFFFFF"/>
            <w:vAlign w:val="center"/>
          </w:tcPr>
          <w:p w14:paraId="16F2B46E">
            <w:pPr>
              <w:spacing w:line="240" w:lineRule="auto"/>
              <w:ind w:firstLine="0" w:firstLineChars="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Value</w:t>
            </w:r>
          </w:p>
        </w:tc>
      </w:tr>
      <w:tr w14:paraId="10521F7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1" w:type="dxa"/>
            <w:tcBorders>
              <w:top w:val="single" w:color="000000" w:sz="4" w:space="0"/>
              <w:left w:val="nil"/>
              <w:bottom w:val="nil"/>
              <w:right w:val="nil"/>
            </w:tcBorders>
            <w:shd w:val="clear" w:color="auto" w:fill="FFFFFF"/>
            <w:vAlign w:val="center"/>
          </w:tcPr>
          <w:p w14:paraId="486A29C4">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Wavelength</w:t>
            </w:r>
          </w:p>
        </w:tc>
        <w:tc>
          <w:tcPr>
            <w:tcW w:w="3827" w:type="dxa"/>
            <w:tcBorders>
              <w:top w:val="single" w:color="000000" w:sz="4" w:space="0"/>
              <w:left w:val="nil"/>
              <w:bottom w:val="nil"/>
              <w:right w:val="nil"/>
            </w:tcBorders>
            <w:shd w:val="clear" w:color="auto" w:fill="FFFFFF"/>
            <w:vAlign w:val="center"/>
          </w:tcPr>
          <w:p w14:paraId="2BD11CFF">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550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nm with 10nm bandwidth</w:t>
            </w:r>
          </w:p>
        </w:tc>
      </w:tr>
      <w:tr w14:paraId="7B387B8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1" w:type="dxa"/>
            <w:tcBorders>
              <w:top w:val="nil"/>
              <w:left w:val="nil"/>
              <w:bottom w:val="nil"/>
              <w:right w:val="nil"/>
            </w:tcBorders>
            <w:shd w:val="clear" w:color="auto" w:fill="FFFFFF"/>
            <w:vAlign w:val="center"/>
          </w:tcPr>
          <w:p w14:paraId="398E780B">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Resolution</w:t>
            </w:r>
          </w:p>
        </w:tc>
        <w:tc>
          <w:tcPr>
            <w:tcW w:w="3827" w:type="dxa"/>
            <w:tcBorders>
              <w:top w:val="nil"/>
              <w:left w:val="nil"/>
              <w:bottom w:val="nil"/>
              <w:right w:val="nil"/>
            </w:tcBorders>
            <w:shd w:val="clear" w:color="auto" w:fill="FFFFFF"/>
            <w:vAlign w:val="center"/>
          </w:tcPr>
          <w:p w14:paraId="29A006FA">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12×12square(96 valid)</w:t>
            </w:r>
          </w:p>
        </w:tc>
      </w:tr>
      <w:tr w14:paraId="2801946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1" w:type="dxa"/>
            <w:tcBorders>
              <w:top w:val="nil"/>
              <w:left w:val="nil"/>
              <w:bottom w:val="nil"/>
              <w:right w:val="nil"/>
            </w:tcBorders>
            <w:shd w:val="clear" w:color="auto" w:fill="FFFFFF"/>
            <w:vAlign w:val="center"/>
          </w:tcPr>
          <w:p w14:paraId="40E73080">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Size of each lenslet</w:t>
            </w:r>
          </w:p>
        </w:tc>
        <w:tc>
          <w:tcPr>
            <w:tcW w:w="3827" w:type="dxa"/>
            <w:tcBorders>
              <w:top w:val="nil"/>
              <w:left w:val="nil"/>
              <w:bottom w:val="nil"/>
              <w:right w:val="nil"/>
            </w:tcBorders>
            <w:shd w:val="clear" w:color="auto" w:fill="FFFFFF"/>
            <w:vAlign w:val="center"/>
          </w:tcPr>
          <w:p w14:paraId="003C6529">
            <w:pPr>
              <w:spacing w:line="240" w:lineRule="auto"/>
              <w:ind w:firstLine="0" w:firstLineChars="0"/>
              <w:rPr>
                <w:color w:val="000000" w:themeColor="text1"/>
                <w14:textFill>
                  <w14:solidFill>
                    <w14:schemeClr w14:val="tx1"/>
                  </w14:solidFill>
                </w14:textFill>
              </w:rPr>
            </w:pPr>
            <w:r>
              <w:rPr>
                <w:rFonts w:cs="Times New Roman"/>
                <w:color w:val="000000" w:themeColor="text1"/>
                <w14:textFill>
                  <w14:solidFill>
                    <w14:schemeClr w14:val="tx1"/>
                  </w14:solidFill>
                </w14:textFill>
              </w:rPr>
              <w:t>500 μm×500 μm</w:t>
            </w:r>
          </w:p>
        </w:tc>
      </w:tr>
      <w:tr w14:paraId="65CE176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1" w:type="dxa"/>
            <w:tcBorders>
              <w:top w:val="nil"/>
              <w:left w:val="nil"/>
              <w:bottom w:val="nil"/>
              <w:right w:val="nil"/>
            </w:tcBorders>
            <w:shd w:val="clear" w:color="auto" w:fill="FFFFFF"/>
            <w:vAlign w:val="center"/>
          </w:tcPr>
          <w:p w14:paraId="5FA6602C">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Field of View</w:t>
            </w:r>
          </w:p>
        </w:tc>
        <w:tc>
          <w:tcPr>
            <w:tcW w:w="3827" w:type="dxa"/>
            <w:tcBorders>
              <w:top w:val="nil"/>
              <w:left w:val="nil"/>
              <w:bottom w:val="nil"/>
              <w:right w:val="nil"/>
            </w:tcBorders>
            <w:shd w:val="clear" w:color="auto" w:fill="FFFFFF"/>
            <w:vAlign w:val="center"/>
          </w:tcPr>
          <w:p w14:paraId="0CC467C8">
            <w:pPr>
              <w:spacing w:line="240" w:lineRule="auto"/>
              <w:ind w:firstLine="0" w:firstLineChars="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~30</w:t>
            </w:r>
            <w:r>
              <w:rPr>
                <w:rFonts w:cs="Times New Roman"/>
                <w:color w:val="000000" w:themeColor="text1"/>
                <w14:textFill>
                  <w14:solidFill>
                    <w14:schemeClr w14:val="tx1"/>
                  </w14:solidFill>
                </w14:textFill>
              </w:rPr>
              <w:t>″</w:t>
            </w:r>
          </w:p>
        </w:tc>
      </w:tr>
      <w:tr w14:paraId="0B7D801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1" w:type="dxa"/>
            <w:tcBorders>
              <w:top w:val="nil"/>
              <w:left w:val="nil"/>
              <w:bottom w:val="nil"/>
              <w:right w:val="nil"/>
            </w:tcBorders>
            <w:shd w:val="clear" w:color="auto" w:fill="FFFFFF"/>
            <w:vAlign w:val="center"/>
          </w:tcPr>
          <w:p w14:paraId="2E65C482">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Focal length of lenslet</w:t>
            </w:r>
          </w:p>
        </w:tc>
        <w:tc>
          <w:tcPr>
            <w:tcW w:w="3827" w:type="dxa"/>
            <w:tcBorders>
              <w:top w:val="nil"/>
              <w:left w:val="nil"/>
              <w:bottom w:val="nil"/>
              <w:right w:val="nil"/>
            </w:tcBorders>
            <w:shd w:val="clear" w:color="auto" w:fill="FFFFFF"/>
            <w:vAlign w:val="center"/>
          </w:tcPr>
          <w:p w14:paraId="11307823">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30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mm</w:t>
            </w:r>
          </w:p>
        </w:tc>
      </w:tr>
      <w:tr w14:paraId="18BBEB3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1" w:type="dxa"/>
            <w:tcBorders>
              <w:top w:val="nil"/>
              <w:left w:val="nil"/>
              <w:bottom w:val="nil"/>
              <w:right w:val="nil"/>
            </w:tcBorders>
            <w:shd w:val="clear" w:color="auto" w:fill="FFFFFF"/>
            <w:vAlign w:val="center"/>
          </w:tcPr>
          <w:p w14:paraId="68A73CEE">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Pixel resolution of each lenslet</w:t>
            </w:r>
          </w:p>
        </w:tc>
        <w:tc>
          <w:tcPr>
            <w:tcW w:w="3827" w:type="dxa"/>
            <w:tcBorders>
              <w:top w:val="nil"/>
              <w:left w:val="nil"/>
              <w:bottom w:val="nil"/>
              <w:right w:val="nil"/>
            </w:tcBorders>
            <w:shd w:val="clear" w:color="auto" w:fill="FFFFFF"/>
            <w:vAlign w:val="center"/>
          </w:tcPr>
          <w:p w14:paraId="72D9631B">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~36×36 with 14</w:t>
            </w:r>
            <w:r>
              <w:rPr>
                <w:color w:val="000000" w:themeColor="text1"/>
                <w14:textFill>
                  <w14:solidFill>
                    <w14:schemeClr w14:val="tx1"/>
                  </w14:solidFill>
                </w14:textFill>
              </w:rPr>
              <w:t xml:space="preserve"> </w:t>
            </w:r>
            <w:r>
              <w:rPr>
                <w:rFonts w:cs="Times New Roman"/>
                <w:color w:val="000000" w:themeColor="text1"/>
                <w14:textFill>
                  <w14:solidFill>
                    <w14:schemeClr w14:val="tx1"/>
                  </w14:solidFill>
                </w14:textFill>
              </w:rPr>
              <w:t>μm</w:t>
            </w:r>
            <w:r>
              <w:rPr>
                <w:rFonts w:hint="eastAsia" w:cs="Times New Roman"/>
                <w:color w:val="000000" w:themeColor="text1"/>
                <w14:textFill>
                  <w14:solidFill>
                    <w14:schemeClr w14:val="tx1"/>
                  </w14:solidFill>
                </w14:textFill>
              </w:rPr>
              <w:t>×14</w:t>
            </w:r>
            <w:r>
              <w:rPr>
                <w:rFonts w:cs="Times New Roman"/>
                <w:color w:val="000000" w:themeColor="text1"/>
                <w14:textFill>
                  <w14:solidFill>
                    <w14:schemeClr w14:val="tx1"/>
                  </w14:solidFill>
                </w14:textFill>
              </w:rPr>
              <w:t xml:space="preserve"> μm</w:t>
            </w:r>
            <w:r>
              <w:rPr>
                <w:rFonts w:hint="eastAsia" w:cs="Times New Roman"/>
                <w:color w:val="000000" w:themeColor="text1"/>
                <w14:textFill>
                  <w14:solidFill>
                    <w14:schemeClr w14:val="tx1"/>
                  </w14:solidFill>
                </w14:textFill>
              </w:rPr>
              <w:t xml:space="preserve"> pixel size</w:t>
            </w:r>
          </w:p>
        </w:tc>
      </w:tr>
      <w:tr w14:paraId="29276C1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1" w:type="dxa"/>
            <w:tcBorders>
              <w:top w:val="nil"/>
              <w:left w:val="nil"/>
              <w:bottom w:val="single" w:color="000000" w:sz="12" w:space="0"/>
              <w:right w:val="nil"/>
            </w:tcBorders>
            <w:shd w:val="clear" w:color="auto" w:fill="FFFFFF"/>
            <w:vAlign w:val="center"/>
          </w:tcPr>
          <w:p w14:paraId="7C3A44F5">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Frame frequency</w:t>
            </w:r>
          </w:p>
        </w:tc>
        <w:tc>
          <w:tcPr>
            <w:tcW w:w="3827" w:type="dxa"/>
            <w:tcBorders>
              <w:top w:val="nil"/>
              <w:left w:val="nil"/>
              <w:bottom w:val="single" w:color="000000" w:sz="12" w:space="0"/>
              <w:right w:val="nil"/>
            </w:tcBorders>
            <w:shd w:val="clear" w:color="auto" w:fill="FFFFFF"/>
            <w:vAlign w:val="center"/>
          </w:tcPr>
          <w:p w14:paraId="627477DE">
            <w:pPr>
              <w:spacing w:line="240" w:lineRule="auto"/>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900-2000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fps</w:t>
            </w:r>
          </w:p>
        </w:tc>
      </w:tr>
    </w:tbl>
    <w:p w14:paraId="6869C202">
      <w:pPr>
        <w:spacing w:line="24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Different from the traditional night astronomy adaptive optical wavefront sensor</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 xml:space="preserve"> the HS WFS of </w:t>
      </w:r>
      <w:r>
        <w:rPr>
          <w:rFonts w:hint="eastAsia"/>
          <w:color w:val="000000" w:themeColor="text1"/>
          <w14:textFill>
            <w14:solidFill>
              <w14:schemeClr w14:val="tx1"/>
            </w14:solidFill>
          </w14:textFill>
        </w:rPr>
        <w:t>SAOT</w:t>
      </w:r>
      <w:r>
        <w:rPr>
          <w:color w:val="000000" w:themeColor="text1"/>
          <w14:textFill>
            <w14:solidFill>
              <w14:schemeClr w14:val="tx1"/>
            </w14:solidFill>
          </w14:textFill>
        </w:rPr>
        <w:t xml:space="preserve"> needs to set </w:t>
      </w:r>
      <w:r>
        <w:rPr>
          <w:rFonts w:hint="eastAsia"/>
          <w:color w:val="000000" w:themeColor="text1"/>
          <w14:textFill>
            <w14:solidFill>
              <w14:schemeClr w14:val="tx1"/>
            </w14:solidFill>
          </w14:textFill>
        </w:rPr>
        <w:t>an additional field stop</w:t>
      </w:r>
      <w:r>
        <w:rPr>
          <w:color w:val="000000" w:themeColor="text1"/>
          <w14:textFill>
            <w14:solidFill>
              <w14:schemeClr w14:val="tx1"/>
            </w14:solidFill>
          </w14:textFill>
        </w:rPr>
        <w:t>, which mainly consists of a square hole placed at the focus position of the relay optical system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 xml:space="preserve"> to prevent the signal crosstalk between different sub-apertures of HS WFS. In the 600 mm SAOT system, the detection field of view of HS WFS is about 30", and the pupil diameter is about Φ6 mm. The optical layout is shown in Fig</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S3</w:t>
      </w:r>
      <w:r>
        <w:rPr>
          <w:color w:val="000000" w:themeColor="text1"/>
          <w14:textFill>
            <w14:solidFill>
              <w14:schemeClr w14:val="tx1"/>
            </w14:solidFill>
          </w14:textFill>
        </w:rPr>
        <w:t>.</w:t>
      </w:r>
    </w:p>
    <w:p w14:paraId="3C44ADE7">
      <w:pPr>
        <w:spacing w:line="240" w:lineRule="auto"/>
        <w:ind w:firstLine="0" w:firstLineChars="0"/>
        <w:jc w:val="center"/>
        <w:rPr>
          <w:rFonts w:cs="Times New Roman"/>
        </w:rPr>
      </w:pPr>
      <w:r>
        <w:rPr>
          <w:rFonts w:cs="Times New Roman"/>
        </w:rPr>
        <w:drawing>
          <wp:inline distT="0" distB="0" distL="0" distR="0">
            <wp:extent cx="4512310" cy="2112010"/>
            <wp:effectExtent l="0" t="0" r="0" b="0"/>
            <wp:docPr id="276" name="图片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275"/>
                    <pic:cNvPicPr>
                      <a:picLocks noChangeAspect="1"/>
                    </pic:cNvPicPr>
                  </pic:nvPicPr>
                  <pic:blipFill>
                    <a:blip r:embed="rId16"/>
                    <a:stretch>
                      <a:fillRect/>
                    </a:stretch>
                  </pic:blipFill>
                  <pic:spPr>
                    <a:xfrm>
                      <a:off x="0" y="0"/>
                      <a:ext cx="4512310" cy="2112010"/>
                    </a:xfrm>
                    <a:prstGeom prst="rect">
                      <a:avLst/>
                    </a:prstGeom>
                  </pic:spPr>
                </pic:pic>
              </a:graphicData>
            </a:graphic>
          </wp:inline>
        </w:drawing>
      </w:r>
    </w:p>
    <w:p w14:paraId="31D05554">
      <w:pPr>
        <w:spacing w:line="240" w:lineRule="auto"/>
        <w:ind w:firstLine="0" w:firstLineChars="0"/>
        <w:rPr>
          <w:rFonts w:cs="Times New Roman"/>
        </w:rPr>
      </w:pPr>
      <w:r>
        <w:rPr>
          <w:rFonts w:cs="Times New Roman"/>
          <w:b/>
          <w:bCs/>
        </w:rPr>
        <w:t>Fig. S</w:t>
      </w:r>
      <w:r>
        <w:rPr>
          <w:rFonts w:hint="eastAsia" w:cs="Times New Roman"/>
          <w:b/>
          <w:bCs/>
        </w:rPr>
        <w:t>3</w:t>
      </w:r>
      <w:r>
        <w:rPr>
          <w:rFonts w:cs="Times New Roman"/>
        </w:rPr>
        <w:t xml:space="preserve"> </w:t>
      </w:r>
      <w:r>
        <w:rPr>
          <w:rFonts w:hint="eastAsia" w:cs="Times New Roman"/>
          <w:lang w:val="en-US" w:eastAsia="zh-CN"/>
        </w:rPr>
        <w:t xml:space="preserve">System configuration of cross-correlation </w:t>
      </w:r>
      <w:r>
        <w:rPr>
          <w:rFonts w:hint="eastAsia" w:cs="Times New Roman"/>
          <w:color w:val="000000" w:themeColor="text1"/>
          <w14:textFill>
            <w14:solidFill>
              <w14:schemeClr w14:val="tx1"/>
            </w14:solidFill>
          </w14:textFill>
        </w:rPr>
        <w:t>HS WFS. MLA: micro-lenslet array; L1&amp;L2: lenses of relay optics.</w:t>
      </w:r>
    </w:p>
    <w:p w14:paraId="20664C43">
      <w:pPr>
        <w:spacing w:line="240" w:lineRule="auto"/>
        <w:ind w:firstLine="480"/>
        <w:rPr>
          <w:rFonts w:cs="Times New Roman"/>
          <w:color w:val="000000" w:themeColor="text1"/>
          <w14:textFill>
            <w14:solidFill>
              <w14:schemeClr w14:val="tx1"/>
            </w14:solidFill>
          </w14:textFill>
        </w:rPr>
      </w:pPr>
      <w:r>
        <w:rPr>
          <w:color w:val="000000" w:themeColor="text1"/>
          <w14:textFill>
            <w14:solidFill>
              <w14:schemeClr w14:val="tx1"/>
            </w14:solidFill>
          </w14:textFill>
        </w:rPr>
        <w:t xml:space="preserve">The controller is </w:t>
      </w:r>
      <w:r>
        <w:rPr>
          <w:rFonts w:hint="eastAsia"/>
          <w:color w:val="000000" w:themeColor="text1"/>
          <w14:textFill>
            <w14:solidFill>
              <w14:schemeClr w14:val="tx1"/>
            </w14:solidFill>
          </w14:textFill>
        </w:rPr>
        <w:t>another</w:t>
      </w:r>
      <w:r>
        <w:rPr>
          <w:color w:val="000000" w:themeColor="text1"/>
          <w14:textFill>
            <w14:solidFill>
              <w14:schemeClr w14:val="tx1"/>
            </w14:solidFill>
          </w14:textFill>
        </w:rPr>
        <w:t xml:space="preserve"> essential part of 600 mm SAOT for realizing wavefront correction, which mainly includes telescope tracking pointing control, </w:t>
      </w:r>
      <w:r>
        <w:rPr>
          <w:rFonts w:hint="eastAsia"/>
          <w:color w:val="000000" w:themeColor="text1"/>
          <w14:textFill>
            <w14:solidFill>
              <w14:schemeClr w14:val="tx1"/>
            </w14:solidFill>
          </w14:textFill>
        </w:rPr>
        <w:t>global</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tip-</w:t>
      </w:r>
      <w:r>
        <w:rPr>
          <w:color w:val="000000" w:themeColor="text1"/>
          <w14:textFill>
            <w14:solidFill>
              <w14:schemeClr w14:val="tx1"/>
            </w14:solidFill>
          </w14:textFill>
        </w:rPr>
        <w:t xml:space="preserve">tilt control, and high-order wavefront aberration control. </w:t>
      </w:r>
      <w:r>
        <w:rPr>
          <w:rFonts w:hint="eastAsia"/>
          <w:color w:val="000000" w:themeColor="text1"/>
          <w14:textFill>
            <w14:solidFill>
              <w14:schemeClr w14:val="tx1"/>
            </w14:solidFill>
          </w14:textFill>
        </w:rPr>
        <w:t xml:space="preserve">The </w:t>
      </w:r>
      <w:r>
        <w:rPr>
          <w:color w:val="000000" w:themeColor="text1"/>
          <w14:textFill>
            <w14:solidFill>
              <w14:schemeClr w14:val="tx1"/>
            </w14:solidFill>
          </w14:textFill>
        </w:rPr>
        <w:t xml:space="preserve">DDM160 equatorial type </w:t>
      </w:r>
      <w:r>
        <w:rPr>
          <w:rFonts w:hint="eastAsia"/>
          <w:color w:val="000000" w:themeColor="text1"/>
          <w14:textFill>
            <w14:solidFill>
              <w14:schemeClr w14:val="tx1"/>
            </w14:solidFill>
          </w14:textFill>
        </w:rPr>
        <w:t xml:space="preserve">mount equipped in </w:t>
      </w:r>
      <w:r>
        <w:rPr>
          <w:color w:val="000000" w:themeColor="text1"/>
          <w14:textFill>
            <w14:solidFill>
              <w14:schemeClr w14:val="tx1"/>
            </w14:solidFill>
          </w14:textFill>
        </w:rPr>
        <w:t>600 mm SAOT</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has a sun guider module, which can guide the sun stabl</w:t>
      </w:r>
      <w:r>
        <w:rPr>
          <w:rFonts w:hint="eastAsia"/>
          <w:color w:val="000000" w:themeColor="text1"/>
          <w14:textFill>
            <w14:solidFill>
              <w14:schemeClr w14:val="tx1"/>
            </w14:solidFill>
          </w14:textFill>
        </w:rPr>
        <w:t xml:space="preserve">y with </w:t>
      </w:r>
      <w:r>
        <w:rPr>
          <w:color w:val="000000" w:themeColor="text1"/>
          <w14:textFill>
            <w14:solidFill>
              <w14:schemeClr w14:val="tx1"/>
            </w14:solidFill>
          </w14:textFill>
        </w:rPr>
        <w:t xml:space="preserve">a </w:t>
      </w:r>
      <w:r>
        <w:rPr>
          <w:rFonts w:hint="eastAsia"/>
          <w:color w:val="000000" w:themeColor="text1"/>
          <w14:textFill>
            <w14:solidFill>
              <w14:schemeClr w14:val="tx1"/>
            </w14:solidFill>
          </w14:textFill>
        </w:rPr>
        <w:t>p</w:t>
      </w:r>
      <w:r>
        <w:rPr>
          <w:color w:val="000000" w:themeColor="text1"/>
          <w14:textFill>
            <w14:solidFill>
              <w14:schemeClr w14:val="tx1"/>
            </w14:solidFill>
          </w14:textFill>
        </w:rPr>
        <w:t>ointing accuracy</w:t>
      </w:r>
      <w:r>
        <w:rPr>
          <w:rFonts w:hint="eastAsia"/>
          <w:color w:val="000000" w:themeColor="text1"/>
          <w14:textFill>
            <w14:solidFill>
              <w14:schemeClr w14:val="tx1"/>
            </w14:solidFill>
          </w14:textFill>
        </w:rPr>
        <w:t xml:space="preserve"> of</w:t>
      </w:r>
      <w:r>
        <w:rPr>
          <w:color w:val="000000" w:themeColor="text1"/>
          <w14:textFill>
            <w14:solidFill>
              <w14:schemeClr w14:val="tx1"/>
            </w14:solidFill>
          </w14:textFill>
        </w:rPr>
        <w:t xml:space="preserve"> 8"</w:t>
      </w:r>
      <w:r>
        <w:rPr>
          <w:rFonts w:hint="eastAsia"/>
          <w:color w:val="000000" w:themeColor="text1"/>
          <w14:textFill>
            <w14:solidFill>
              <w14:schemeClr w14:val="tx1"/>
            </w14:solidFill>
          </w14:textFill>
        </w:rPr>
        <w:t xml:space="preserve"> and </w:t>
      </w:r>
      <w:r>
        <w:rPr>
          <w:color w:val="000000" w:themeColor="text1"/>
          <w14:textFill>
            <w14:solidFill>
              <w14:schemeClr w14:val="tx1"/>
            </w14:solidFill>
          </w14:textFill>
        </w:rPr>
        <w:t xml:space="preserve">tracking accuracy </w:t>
      </w:r>
      <w:r>
        <w:rPr>
          <w:rFonts w:hint="eastAsia"/>
          <w:color w:val="000000" w:themeColor="text1"/>
          <w14:textFill>
            <w14:solidFill>
              <w14:schemeClr w14:val="tx1"/>
            </w14:solidFill>
          </w14:textFill>
        </w:rPr>
        <w:t>of</w:t>
      </w:r>
      <w:r>
        <w:rPr>
          <w:color w:val="000000" w:themeColor="text1"/>
          <w14:textFill>
            <w14:solidFill>
              <w14:schemeClr w14:val="tx1"/>
            </w14:solidFill>
          </w14:textFill>
        </w:rPr>
        <w:t xml:space="preserve"> 0.25"</w:t>
      </w:r>
      <w:r>
        <w:rPr>
          <w:rFonts w:hint="eastAsia"/>
          <w:color w:val="000000" w:themeColor="text1"/>
          <w14:textFill>
            <w14:solidFill>
              <w14:schemeClr w14:val="tx1"/>
            </w14:solidFill>
          </w14:textFill>
        </w:rPr>
        <w:t xml:space="preserve"> within </w:t>
      </w:r>
      <w:r>
        <w:rPr>
          <w:color w:val="000000" w:themeColor="text1"/>
          <w14:textFill>
            <w14:solidFill>
              <w14:schemeClr w14:val="tx1"/>
            </w14:solidFill>
          </w14:textFill>
        </w:rPr>
        <w:t xml:space="preserve">5min. </w:t>
      </w:r>
      <w:r>
        <w:rPr>
          <w:rFonts w:hint="eastAsia"/>
          <w:color w:val="000000" w:themeColor="text1"/>
          <w14:textFill>
            <w14:solidFill>
              <w14:schemeClr w14:val="tx1"/>
            </w14:solidFill>
          </w14:textFill>
        </w:rPr>
        <w:t xml:space="preserve">Certainly, it cannot solve some </w:t>
      </w:r>
      <w:r>
        <w:rPr>
          <w:color w:val="000000" w:themeColor="text1"/>
          <w14:textFill>
            <w14:solidFill>
              <w14:schemeClr w14:val="tx1"/>
            </w14:solidFill>
          </w14:textFill>
        </w:rPr>
        <w:t>tracking errors caused by system vibration and atmosphere turbulence,</w:t>
      </w:r>
      <w:r>
        <w:rPr>
          <w:rFonts w:hint="eastAsia"/>
          <w:color w:val="000000" w:themeColor="text1"/>
          <w14:textFill>
            <w14:solidFill>
              <w14:schemeClr w14:val="tx1"/>
            </w14:solidFill>
          </w14:textFill>
        </w:rPr>
        <w:t xml:space="preserve"> and the </w:t>
      </w:r>
      <w:r>
        <w:rPr>
          <w:color w:val="000000" w:themeColor="text1"/>
          <w14:textFill>
            <w14:solidFill>
              <w14:schemeClr w14:val="tx1"/>
            </w14:solidFill>
          </w14:textFill>
        </w:rPr>
        <w:t xml:space="preserve">SDM becomes the only </w:t>
      </w:r>
      <w:r>
        <w:rPr>
          <w:rFonts w:hint="eastAsia"/>
          <w:color w:val="000000" w:themeColor="text1"/>
          <w14:textFill>
            <w14:solidFill>
              <w14:schemeClr w14:val="tx1"/>
            </w14:solidFill>
          </w14:textFill>
        </w:rPr>
        <w:t>corrector to correct the global tip-tilt caused by these sources</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 xml:space="preserve"> Besides, the SDM also corrects the dynamic higher</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order wavefront aberration in real time. The flo</w:t>
      </w:r>
      <w:r>
        <w:rPr>
          <w:rFonts w:hint="eastAsia" w:cs="Times New Roman"/>
          <w:color w:val="000000" w:themeColor="text1"/>
          <w14:textFill>
            <w14:solidFill>
              <w14:schemeClr w14:val="tx1"/>
            </w14:solidFill>
          </w14:textFill>
        </w:rPr>
        <w:t>wchart of 600</w:t>
      </w:r>
      <w:r>
        <w:rPr>
          <w:rFonts w:cs="Times New Roman"/>
          <w:color w:val="000000" w:themeColor="text1"/>
          <w14:textFill>
            <w14:solidFill>
              <w14:schemeClr w14:val="tx1"/>
            </w14:solidFill>
          </w14:textFill>
        </w:rPr>
        <w:t xml:space="preserve"> </w:t>
      </w:r>
      <w:r>
        <w:rPr>
          <w:rFonts w:hint="eastAsia" w:cs="Times New Roman"/>
          <w:color w:val="000000" w:themeColor="text1"/>
          <w14:textFill>
            <w14:solidFill>
              <w14:schemeClr w14:val="tx1"/>
            </w14:solidFill>
          </w14:textFill>
        </w:rPr>
        <w:t xml:space="preserve">mm SAOT controller is illustrated in Fig. S4. </w:t>
      </w:r>
      <w:r>
        <w:rPr>
          <w:rFonts w:cs="Times New Roman"/>
          <w:color w:val="000000" w:themeColor="text1"/>
          <w14:textFill>
            <w14:solidFill>
              <w14:schemeClr w14:val="tx1"/>
            </w14:solidFill>
          </w14:textFill>
        </w:rPr>
        <w:t xml:space="preserve">Under the guidance of the sun guider module of DDM160, the 600mm SAOT steadily tracks the solar active region of interest, and the HS WFS detects the wavefront aberration of the 600mm SAOT pupil plane in high dynamics using the solar atmosphere itself as a beacon and acquires the sub-image array in real-time. For high-order wavefront aberration detection, the high-order wavefront aberration corresponding to each sub-image array can be recovered in real-time by analyzing each sub-lenslet concerning the reference sub-lenslet correlation coefficient (CCC), and calculating the slop distribution of wavefront by using the centre-of-mass algorithm. At the same time, the sub-image array detected by HS WFS in real-time can be used to analyse and calculate the CCC of each sub-aperture relative to the corresponding sub-aperture at the reference time to estimate the global tip-tilt at the current time. The real-time controller (RTC) carries out proportional-integral control (proportional-integral control) on the detected higher-order wavefront aberration and global tip-tilt and calculates the SDM control signal, which is outputted and controlled by a high-voltage amplifier High-Voltage Amplifier </w:t>
      </w:r>
      <w:r>
        <w:rPr>
          <w:rFonts w:hint="eastAsia" w:cs="Times New Roman"/>
          <w:color w:val="000000" w:themeColor="text1"/>
          <w14:textFill>
            <w14:solidFill>
              <w14:schemeClr w14:val="tx1"/>
            </w14:solidFill>
          </w14:textFill>
        </w:rPr>
        <w:t>(</w:t>
      </w:r>
      <w:r>
        <w:rPr>
          <w:rFonts w:cs="Times New Roman"/>
          <w:color w:val="000000" w:themeColor="text1"/>
          <w14:textFill>
            <w14:solidFill>
              <w14:schemeClr w14:val="tx1"/>
            </w14:solidFill>
          </w14:textFill>
        </w:rPr>
        <w:t>HVA). After the</w:t>
      </w:r>
      <w:r>
        <w:rPr>
          <w:rFonts w:hint="eastAsia" w:cs="Times New Roman"/>
          <w:color w:val="000000" w:themeColor="text1"/>
          <w14:textFill>
            <w14:solidFill>
              <w14:schemeClr w14:val="tx1"/>
            </w14:solidFill>
          </w14:textFill>
        </w:rPr>
        <w:t xml:space="preserve"> </w:t>
      </w:r>
      <w:r>
        <w:rPr>
          <w:rFonts w:cs="Times New Roman"/>
          <w:color w:val="000000" w:themeColor="text1"/>
          <w14:textFill>
            <w14:solidFill>
              <w14:schemeClr w14:val="tx1"/>
            </w14:solidFill>
          </w14:textFill>
        </w:rPr>
        <w:t>HVA, the SDM control signal is calculated and output to control the SDM surface type, which reali</w:t>
      </w:r>
      <w:r>
        <w:rPr>
          <w:rFonts w:hint="eastAsia" w:cs="Times New Roman"/>
          <w:color w:val="000000" w:themeColor="text1"/>
          <w14:textFill>
            <w14:solidFill>
              <w14:schemeClr w14:val="tx1"/>
            </w14:solidFill>
          </w14:textFill>
        </w:rPr>
        <w:t>z</w:t>
      </w:r>
      <w:r>
        <w:rPr>
          <w:rFonts w:cs="Times New Roman"/>
          <w:color w:val="000000" w:themeColor="text1"/>
          <w14:textFill>
            <w14:solidFill>
              <w14:schemeClr w14:val="tx1"/>
            </w14:solidFill>
          </w14:textFill>
        </w:rPr>
        <w:t xml:space="preserve">es the fast and effective correction of high order aberration and </w:t>
      </w:r>
      <w:r>
        <w:rPr>
          <w:rFonts w:hint="eastAsia" w:cs="Times New Roman"/>
          <w:color w:val="000000" w:themeColor="text1"/>
          <w14:textFill>
            <w14:solidFill>
              <w14:schemeClr w14:val="tx1"/>
            </w14:solidFill>
          </w14:textFill>
        </w:rPr>
        <w:t>global tip-</w:t>
      </w:r>
      <w:r>
        <w:rPr>
          <w:rFonts w:cs="Times New Roman"/>
          <w:color w:val="000000" w:themeColor="text1"/>
          <w14:textFill>
            <w14:solidFill>
              <w14:schemeClr w14:val="tx1"/>
            </w14:solidFill>
          </w14:textFill>
        </w:rPr>
        <w:t>tilt.</w:t>
      </w:r>
    </w:p>
    <w:p w14:paraId="0F886A87">
      <w:pPr>
        <w:spacing w:line="240" w:lineRule="auto"/>
        <w:ind w:firstLine="0" w:firstLineChars="0"/>
        <w:jc w:val="center"/>
        <w:rPr>
          <w:rFonts w:cs="Times New Roman"/>
        </w:rPr>
      </w:pPr>
      <w:r>
        <w:rPr>
          <w:rFonts w:cs="Times New Roman"/>
        </w:rPr>
        <w:drawing>
          <wp:inline distT="0" distB="0" distL="0" distR="0">
            <wp:extent cx="4175125" cy="3134995"/>
            <wp:effectExtent l="0" t="0" r="0" b="8255"/>
            <wp:docPr id="277" name="图片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276"/>
                    <pic:cNvPicPr>
                      <a:picLocks noChangeAspect="1"/>
                    </pic:cNvPicPr>
                  </pic:nvPicPr>
                  <pic:blipFill>
                    <a:blip r:embed="rId17"/>
                    <a:stretch>
                      <a:fillRect/>
                    </a:stretch>
                  </pic:blipFill>
                  <pic:spPr>
                    <a:xfrm>
                      <a:off x="0" y="0"/>
                      <a:ext cx="4175341" cy="3135044"/>
                    </a:xfrm>
                    <a:prstGeom prst="rect">
                      <a:avLst/>
                    </a:prstGeom>
                  </pic:spPr>
                </pic:pic>
              </a:graphicData>
            </a:graphic>
          </wp:inline>
        </w:drawing>
      </w:r>
    </w:p>
    <w:p w14:paraId="7F6B7BC1">
      <w:pPr>
        <w:spacing w:line="240" w:lineRule="auto"/>
        <w:ind w:firstLine="0" w:firstLineChars="0"/>
        <w:rPr>
          <w:rFonts w:cs="Times New Roman"/>
        </w:rPr>
      </w:pPr>
      <w:r>
        <w:rPr>
          <w:rFonts w:cs="Times New Roman"/>
          <w:b/>
          <w:bCs/>
        </w:rPr>
        <w:t>Fig. S</w:t>
      </w:r>
      <w:r>
        <w:rPr>
          <w:rFonts w:hint="eastAsia" w:cs="Times New Roman"/>
          <w:b/>
          <w:bCs/>
        </w:rPr>
        <w:t>4</w:t>
      </w:r>
      <w:r>
        <w:rPr>
          <w:rFonts w:cs="Times New Roman"/>
        </w:rPr>
        <w:t xml:space="preserve"> </w:t>
      </w:r>
      <w:r>
        <w:rPr>
          <w:rFonts w:hint="eastAsia" w:cs="Times New Roman"/>
          <w:color w:val="000000" w:themeColor="text1"/>
          <w14:textFill>
            <w14:solidFill>
              <w14:schemeClr w14:val="tx1"/>
            </w14:solidFill>
          </w14:textFill>
        </w:rPr>
        <w:t>Flowchart of 600</w:t>
      </w:r>
      <w:r>
        <w:rPr>
          <w:rFonts w:cs="Times New Roman"/>
          <w:color w:val="000000" w:themeColor="text1"/>
          <w14:textFill>
            <w14:solidFill>
              <w14:schemeClr w14:val="tx1"/>
            </w14:solidFill>
          </w14:textFill>
        </w:rPr>
        <w:t xml:space="preserve"> </w:t>
      </w:r>
      <w:r>
        <w:rPr>
          <w:rFonts w:hint="eastAsia" w:cs="Times New Roman"/>
          <w:color w:val="000000" w:themeColor="text1"/>
          <w14:textFill>
            <w14:solidFill>
              <w14:schemeClr w14:val="tx1"/>
            </w14:solidFill>
          </w14:textFill>
        </w:rPr>
        <w:t xml:space="preserve">mm SAOT controller </w:t>
      </w:r>
      <w:r>
        <w:rPr>
          <w:rFonts w:cs="Times New Roman"/>
          <w:color w:val="000000" w:themeColor="text1"/>
          <w14:textFill>
            <w14:solidFill>
              <w14:schemeClr w14:val="tx1"/>
            </w14:solidFill>
          </w14:textFill>
        </w:rPr>
        <w:t>(CC</w:t>
      </w:r>
      <w:r>
        <w:rPr>
          <w:rFonts w:hint="eastAsia" w:cs="Times New Roman"/>
          <w:color w:val="000000" w:themeColor="text1"/>
          <w14:textFill>
            <w14:solidFill>
              <w14:schemeClr w14:val="tx1"/>
            </w14:solidFill>
          </w14:textFill>
        </w:rPr>
        <w:t>C</w:t>
      </w:r>
      <w:r>
        <w:rPr>
          <w:rFonts w:cs="Times New Roman"/>
          <w:color w:val="000000" w:themeColor="text1"/>
          <w14:textFill>
            <w14:solidFill>
              <w14:schemeClr w14:val="tx1"/>
            </w14:solidFill>
          </w14:textFill>
        </w:rPr>
        <w:t xml:space="preserve">: </w:t>
      </w:r>
      <w:r>
        <w:rPr>
          <w:rFonts w:hint="eastAsia" w:cs="Times New Roman"/>
          <w:color w:val="000000" w:themeColor="text1"/>
          <w14:textFill>
            <w14:solidFill>
              <w14:schemeClr w14:val="tx1"/>
            </w14:solidFill>
          </w14:textFill>
        </w:rPr>
        <w:t xml:space="preserve">cross </w:t>
      </w:r>
      <w:r>
        <w:rPr>
          <w:rFonts w:cs="Times New Roman"/>
          <w:color w:val="000000" w:themeColor="text1"/>
          <w14:textFill>
            <w14:solidFill>
              <w14:schemeClr w14:val="tx1"/>
            </w14:solidFill>
          </w14:textFill>
        </w:rPr>
        <w:t>correlation coefficient)</w:t>
      </w:r>
      <w:r>
        <w:rPr>
          <w:rFonts w:hint="eastAsia" w:cs="Times New Roman"/>
          <w:color w:val="000000" w:themeColor="text1"/>
          <w14:textFill>
            <w14:solidFill>
              <w14:schemeClr w14:val="tx1"/>
            </w14:solidFill>
          </w14:textFill>
        </w:rPr>
        <w:t>.</w:t>
      </w:r>
    </w:p>
    <w:p w14:paraId="59779C97">
      <w:pPr>
        <w:spacing w:line="240" w:lineRule="auto"/>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Fig. S</w:t>
      </w:r>
      <w:r>
        <w:rPr>
          <w:rFonts w:hint="eastAsia" w:cs="Times New Roman"/>
          <w:color w:val="000000" w:themeColor="text1"/>
          <w14:textFill>
            <w14:solidFill>
              <w14:schemeClr w14:val="tx1"/>
            </w14:solidFill>
          </w14:textFill>
        </w:rPr>
        <w:t>5</w:t>
      </w:r>
      <w:r>
        <w:rPr>
          <w:rFonts w:cs="Times New Roman"/>
          <w:color w:val="000000" w:themeColor="text1"/>
          <w14:textFill>
            <w14:solidFill>
              <w14:schemeClr w14:val="tx1"/>
            </w14:solidFill>
          </w14:textFill>
        </w:rPr>
        <w:t xml:space="preserve"> shows the detected wavefront aberration by HS WFS and the corresponding residual wavefront error compared to the simulated random phase screen. There was little difference between the detected wavefront aberration and the given random phase screen due to the ability limitation of HS WFS for high spatial frequency components and spatial filtering by using the first 65 orders of Zernike polynomials. The PV and RMS of the detected wavefront, as shown in (a), are 2.56λ and 0.48λ respectively.</w:t>
      </w:r>
    </w:p>
    <w:p w14:paraId="5CBF21E6">
      <w:pPr>
        <w:spacing w:line="240" w:lineRule="auto"/>
        <w:ind w:firstLine="0" w:firstLineChars="0"/>
        <w:jc w:val="center"/>
        <w:rPr>
          <w:rFonts w:cs="Times New Roman"/>
        </w:rPr>
      </w:pPr>
      <w:r>
        <w:rPr>
          <w:rFonts w:cs="Times New Roman"/>
        </w:rPr>
        <w:drawing>
          <wp:inline distT="0" distB="0" distL="0" distR="0">
            <wp:extent cx="5076190" cy="2360295"/>
            <wp:effectExtent l="0" t="0" r="0" b="1905"/>
            <wp:docPr id="209342465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424653" name="图片 5"/>
                    <pic:cNvPicPr>
                      <a:picLocks noChangeAspect="1"/>
                    </pic:cNvPicPr>
                  </pic:nvPicPr>
                  <pic:blipFill>
                    <a:blip r:embed="rId18"/>
                    <a:stretch>
                      <a:fillRect/>
                    </a:stretch>
                  </pic:blipFill>
                  <pic:spPr>
                    <a:xfrm>
                      <a:off x="0" y="0"/>
                      <a:ext cx="5076305" cy="2360815"/>
                    </a:xfrm>
                    <a:prstGeom prst="rect">
                      <a:avLst/>
                    </a:prstGeom>
                  </pic:spPr>
                </pic:pic>
              </a:graphicData>
            </a:graphic>
          </wp:inline>
        </w:drawing>
      </w:r>
    </w:p>
    <w:p w14:paraId="2B84549D">
      <w:pPr>
        <w:spacing w:line="240" w:lineRule="auto"/>
        <w:ind w:firstLine="0" w:firstLineChars="0"/>
        <w:rPr>
          <w:rFonts w:cs="Times New Roman"/>
        </w:rPr>
      </w:pPr>
      <w:r>
        <w:rPr>
          <w:rFonts w:cs="Times New Roman"/>
          <w:b/>
          <w:bCs/>
        </w:rPr>
        <w:t>Fig. S</w:t>
      </w:r>
      <w:r>
        <w:rPr>
          <w:rFonts w:hint="eastAsia" w:cs="Times New Roman"/>
          <w:b/>
          <w:bCs/>
        </w:rPr>
        <w:t>5</w:t>
      </w:r>
      <w:r>
        <w:rPr>
          <w:rFonts w:cs="Times New Roman"/>
        </w:rPr>
        <w:t xml:space="preserve"> Wavefront detection of HS WFS and its residual wavefront error. (a) Phase distribution of wavefront aberration detected by HS WFS(PV=2.56λ, RMS=0.48λ); (b) Residual wavefront error compared to the given random phase screen(PV=0.73λ, RMS=0.12λ).</w:t>
      </w:r>
    </w:p>
    <w:p w14:paraId="0EAEDFA2">
      <w:pPr>
        <w:spacing w:line="240" w:lineRule="auto"/>
        <w:ind w:firstLine="480"/>
        <w:rPr>
          <w:rFonts w:cs="Times New Roman"/>
        </w:rPr>
      </w:pPr>
      <w:r>
        <w:rPr>
          <w:rFonts w:cs="Times New Roman"/>
        </w:rPr>
        <w:t>The measured slopes of HS WFS were input to the SAOT controller, and the corresponding correction voltage value were calculated and output to SDM. The shape of SDM after wavefront correction and the corresponding residual wavefront error are illustrated in Fig. S</w:t>
      </w:r>
      <w:r>
        <w:rPr>
          <w:rFonts w:hint="eastAsia" w:cs="Times New Roman"/>
        </w:rPr>
        <w:t>6</w:t>
      </w:r>
      <w:r>
        <w:rPr>
          <w:rFonts w:cs="Times New Roman"/>
        </w:rPr>
        <w:t>. In comparison, the SDM surface type is relatively smooth, and its high-frequency correction ability is limited. Hence, the wavefront correction residual is mainly high-frequency aberration. Still, overall, the RMS value of the wavefront after correction decreases to below 0.10λ.</w:t>
      </w:r>
    </w:p>
    <w:p w14:paraId="65C60019">
      <w:pPr>
        <w:spacing w:line="240" w:lineRule="auto"/>
        <w:ind w:firstLine="0" w:firstLineChars="0"/>
        <w:jc w:val="center"/>
        <w:rPr>
          <w:rFonts w:cs="Times New Roman"/>
        </w:rPr>
      </w:pPr>
      <w:r>
        <w:rPr>
          <w:rFonts w:cs="Times New Roman"/>
        </w:rPr>
        <w:drawing>
          <wp:inline distT="0" distB="0" distL="0" distR="0">
            <wp:extent cx="5026025" cy="2371725"/>
            <wp:effectExtent l="0" t="0" r="3175" b="0"/>
            <wp:docPr id="25484154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841541" name="图片 6"/>
                    <pic:cNvPicPr>
                      <a:picLocks noChangeAspect="1"/>
                    </pic:cNvPicPr>
                  </pic:nvPicPr>
                  <pic:blipFill>
                    <a:blip r:embed="rId19"/>
                    <a:stretch>
                      <a:fillRect/>
                    </a:stretch>
                  </pic:blipFill>
                  <pic:spPr>
                    <a:xfrm>
                      <a:off x="0" y="0"/>
                      <a:ext cx="5026429" cy="2371898"/>
                    </a:xfrm>
                    <a:prstGeom prst="rect">
                      <a:avLst/>
                    </a:prstGeom>
                  </pic:spPr>
                </pic:pic>
              </a:graphicData>
            </a:graphic>
          </wp:inline>
        </w:drawing>
      </w:r>
    </w:p>
    <w:p w14:paraId="77FEAC66">
      <w:pPr>
        <w:spacing w:line="240" w:lineRule="auto"/>
        <w:ind w:firstLine="0" w:firstLineChars="0"/>
        <w:rPr>
          <w:rFonts w:cs="Times New Roman"/>
        </w:rPr>
      </w:pPr>
      <w:r>
        <w:rPr>
          <w:rFonts w:cs="Times New Roman"/>
          <w:b/>
          <w:bCs/>
        </w:rPr>
        <w:t>Fig. S</w:t>
      </w:r>
      <w:r>
        <w:rPr>
          <w:rFonts w:hint="eastAsia" w:cs="Times New Roman"/>
          <w:b/>
          <w:bCs/>
        </w:rPr>
        <w:t>6</w:t>
      </w:r>
      <w:r>
        <w:rPr>
          <w:rFonts w:cs="Times New Roman"/>
        </w:rPr>
        <w:t xml:space="preserve"> Shape of SDM and the corresponding residual wavefront error after wavefront correction. (a) Shape of SDM after wavefront correction (PV=2.65λ, RMS=0.47λ); (b) The corresponding residual wavefront error after correction (PV=0.72λ, RMS=0.10λ).</w:t>
      </w:r>
    </w:p>
    <w:p w14:paraId="0028C5C9">
      <w:pPr>
        <w:spacing w:line="240" w:lineRule="auto"/>
        <w:ind w:firstLine="480"/>
        <w:rPr>
          <w:rFonts w:cs="Times New Roman" w:eastAsiaTheme="minorEastAsia"/>
          <w:kern w:val="2"/>
        </w:rPr>
      </w:pPr>
      <w:r>
        <w:rPr>
          <w:rFonts w:cs="Times New Roman"/>
        </w:rPr>
        <w:t>During the wavefront correction process, the image quality was affected obviously by wavefront aberration. Fig. S</w:t>
      </w:r>
      <w:r>
        <w:rPr>
          <w:rFonts w:hint="eastAsia" w:cs="Times New Roman"/>
        </w:rPr>
        <w:t>7</w:t>
      </w:r>
      <w:r>
        <w:rPr>
          <w:rFonts w:cs="Times New Roman"/>
        </w:rPr>
        <w:t xml:space="preserve"> (a) shows the simulated original image of the solar atmospheric photosphere with about 66</w:t>
      </w:r>
      <w:r>
        <w:rPr>
          <w:rFonts w:eastAsia="微软雅黑" w:cs="Times New Roman"/>
        </w:rPr>
        <w:t>″</w:t>
      </w:r>
      <w:r>
        <w:rPr>
          <w:rFonts w:cs="Times New Roman"/>
        </w:rPr>
        <w:t xml:space="preserve"> of field of view (FoV), which is generated by Dr. </w:t>
      </w:r>
      <w:r>
        <w:rPr>
          <w:rFonts w:cs="Times New Roman" w:eastAsiaTheme="minorEastAsia"/>
          <w:kern w:val="2"/>
        </w:rPr>
        <w:t>Carlos Quintero Noda. The diffraction-limit image can be obtained by using convolution operation between the original image and the ideal PSF of the 600mm SAOT, as shown in Fig. S</w:t>
      </w:r>
      <w:r>
        <w:rPr>
          <w:rFonts w:hint="eastAsia" w:cs="Times New Roman" w:eastAsiaTheme="minorEastAsia"/>
          <w:kern w:val="2"/>
        </w:rPr>
        <w:t>7</w:t>
      </w:r>
      <w:r>
        <w:rPr>
          <w:rFonts w:cs="Times New Roman" w:eastAsiaTheme="minorEastAsia"/>
          <w:kern w:val="2"/>
        </w:rPr>
        <w:t>(b). Fig. S</w:t>
      </w:r>
      <w:r>
        <w:rPr>
          <w:rFonts w:hint="eastAsia" w:cs="Times New Roman" w:eastAsiaTheme="minorEastAsia"/>
          <w:kern w:val="2"/>
        </w:rPr>
        <w:t>7</w:t>
      </w:r>
      <w:r>
        <w:rPr>
          <w:rFonts w:cs="Times New Roman" w:eastAsiaTheme="minorEastAsia"/>
          <w:kern w:val="2"/>
        </w:rPr>
        <w:t>(c) and (d) are images blurred by atmosphere turbulence before SDM correction and after correction. We use the structure similarity based image quality (SSIM) index [</w:t>
      </w:r>
      <w:r>
        <w:rPr>
          <w:rFonts w:hint="eastAsia" w:cs="Times New Roman" w:eastAsiaTheme="minorEastAsia"/>
          <w:kern w:val="2"/>
        </w:rPr>
        <w:t>3</w:t>
      </w:r>
      <w:r>
        <w:rPr>
          <w:rFonts w:cs="Times New Roman" w:eastAsiaTheme="minorEastAsia"/>
          <w:kern w:val="2"/>
        </w:rPr>
        <w:t>] to assess the image quality before and after SDM correction. The original image is selected as the referencing image, and thus its SSIM = 1.0. And when the wavefront aberration is smaller after SDM correction, the value of SSIM is closer to 1.0. In our simulations, the SSIM of the diffraction-limited image is about 0.7817, and it is blurred to 0.2690 before SDM correction and improved to 0.6891 after wavefront correction, respectively.</w:t>
      </w:r>
    </w:p>
    <w:p w14:paraId="373865E5">
      <w:pPr>
        <w:spacing w:line="240" w:lineRule="auto"/>
        <w:ind w:firstLine="0" w:firstLineChars="0"/>
        <w:jc w:val="center"/>
        <w:rPr>
          <w:rFonts w:cs="Times New Roman" w:eastAsiaTheme="minorEastAsia"/>
          <w:kern w:val="2"/>
        </w:rPr>
      </w:pPr>
      <w:r>
        <w:rPr>
          <w:rFonts w:cs="Times New Roman" w:eastAsiaTheme="minorEastAsia"/>
          <w:kern w:val="2"/>
        </w:rPr>
        <w:drawing>
          <wp:inline distT="0" distB="0" distL="0" distR="0">
            <wp:extent cx="4588510" cy="4128135"/>
            <wp:effectExtent l="0" t="0" r="2540" b="5715"/>
            <wp:docPr id="3559944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994426" name="图片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4588510" cy="4128135"/>
                    </a:xfrm>
                    <a:prstGeom prst="rect">
                      <a:avLst/>
                    </a:prstGeom>
                    <a:noFill/>
                  </pic:spPr>
                </pic:pic>
              </a:graphicData>
            </a:graphic>
          </wp:inline>
        </w:drawing>
      </w:r>
    </w:p>
    <w:p w14:paraId="09A9CCAD">
      <w:pPr>
        <w:spacing w:line="240" w:lineRule="auto"/>
        <w:ind w:firstLine="0" w:firstLineChars="0"/>
        <w:rPr>
          <w:rFonts w:cs="Times New Roman"/>
        </w:rPr>
      </w:pPr>
      <w:r>
        <w:rPr>
          <w:rFonts w:cs="Times New Roman"/>
          <w:b/>
          <w:bCs/>
        </w:rPr>
        <w:t>Fig. S</w:t>
      </w:r>
      <w:r>
        <w:rPr>
          <w:rFonts w:hint="eastAsia" w:cs="Times New Roman"/>
          <w:b/>
          <w:bCs/>
        </w:rPr>
        <w:t>7</w:t>
      </w:r>
      <w:r>
        <w:rPr>
          <w:rFonts w:cs="Times New Roman"/>
        </w:rPr>
        <w:t xml:space="preserve"> Images of original, diffraction limit, before and after wavefront correction. (a) Original image on solar photosphere layer (referencing image, SSIM=1.0); (b) Diffraction limit image of (a) limited by the ideal PSF of 600mm SAOT (SSIM=0.7817); (c) Blurred image before wavefront correction (SSIM=0.269) and (c) Image after wavefront correction (SSIM=0.6891) .</w:t>
      </w:r>
    </w:p>
    <w:p w14:paraId="521DB97A">
      <w:pPr>
        <w:spacing w:line="240" w:lineRule="auto"/>
        <w:ind w:firstLine="480"/>
        <w:rPr>
          <w:rFonts w:cs="Times New Roman"/>
          <w:color w:val="000000" w:themeColor="text1"/>
          <w14:textFill>
            <w14:solidFill>
              <w14:schemeClr w14:val="tx1"/>
            </w14:solidFill>
          </w14:textFill>
        </w:rPr>
      </w:pPr>
      <w:r>
        <w:rPr>
          <w:rFonts w:cs="Times New Roman"/>
        </w:rPr>
        <w:t xml:space="preserve">The correction ability for static wavefront aberration was validated first. The simulated static wavefront aberration was mainly generated from the mismatch between SDM and the following optics adjusting by Hexapod mechanism and shape change of SDM itself. The 12×12 resolution HS WFS was fabricated and used to detect the simulated wavefront aberration, and the data was input to </w:t>
      </w:r>
      <w:r>
        <w:rPr>
          <w:rFonts w:hint="eastAsia" w:cs="Times New Roman"/>
          <w:lang w:val="en-US" w:eastAsia="zh-CN"/>
        </w:rPr>
        <w:t>real-time controller (</w:t>
      </w:r>
      <w:r>
        <w:rPr>
          <w:rFonts w:cs="Times New Roman"/>
        </w:rPr>
        <w:t>RTC</w:t>
      </w:r>
      <w:r>
        <w:rPr>
          <w:rFonts w:hint="eastAsia" w:cs="Times New Roman"/>
          <w:lang w:val="en-US" w:eastAsia="zh-CN"/>
        </w:rPr>
        <w:t>)</w:t>
      </w:r>
      <w:r>
        <w:rPr>
          <w:rFonts w:cs="Times New Roman"/>
        </w:rPr>
        <w:t xml:space="preserve"> and used to control the shape of SDM. Wavefront detection, control, and correction were conducted for both point and extended objects. The wavefront aberrations of the experimental system before and after SDM correction are shown in Fig. S</w:t>
      </w:r>
      <w:r>
        <w:rPr>
          <w:rFonts w:hint="eastAsia" w:cs="Times New Roman"/>
        </w:rPr>
        <w:t>8</w:t>
      </w:r>
      <w:r>
        <w:rPr>
          <w:rFonts w:cs="Times New Roman"/>
        </w:rPr>
        <w:t>. The simulated static wavefront aberration was mainly composed of the first 15-order Zernike aberration, and the PV value and RMS value were</w:t>
      </w:r>
      <w:r>
        <w:rPr>
          <w:rFonts w:cs="Times New Roman"/>
          <w:color w:val="000000" w:themeColor="text1"/>
          <w14:textFill>
            <w14:solidFill>
              <w14:schemeClr w14:val="tx1"/>
            </w14:solidFill>
          </w14:textFill>
        </w:rPr>
        <w:t xml:space="preserve"> 3.59 μm and 0.67 μm respectively, which were approximately 5.1λ and 0.95λ of the working wavelength. After SDM correction, the PV and RMS of the residual wavefront error were reduced obviously to 0.23 μm and 0.04 μm</w:t>
      </w:r>
      <w:r>
        <w:rPr>
          <w:rFonts w:cs="Times New Roman"/>
          <w:color w:val="00B0F0"/>
        </w:rPr>
        <w:t>,</w:t>
      </w:r>
      <w:r>
        <w:rPr>
          <w:rFonts w:cs="Times New Roman"/>
          <w:color w:val="000000" w:themeColor="text1"/>
          <w14:textFill>
            <w14:solidFill>
              <w14:schemeClr w14:val="tx1"/>
            </w14:solidFill>
          </w14:textFill>
        </w:rPr>
        <w:t xml:space="preserve"> respectively, which were approximately 0.33λ and 0.06λ of the working wavelength. The SDM correction ability for static wavefront aberration is validated. </w:t>
      </w:r>
    </w:p>
    <w:p w14:paraId="596152BD">
      <w:pPr>
        <w:ind w:firstLine="0" w:firstLineChars="0"/>
        <w:jc w:val="center"/>
      </w:pPr>
      <w:r>
        <w:drawing>
          <wp:inline distT="0" distB="0" distL="0" distR="0">
            <wp:extent cx="5056505" cy="2360295"/>
            <wp:effectExtent l="0" t="0" r="0" b="1905"/>
            <wp:docPr id="192244384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443846" name="图片 3"/>
                    <pic:cNvPicPr>
                      <a:picLocks noChangeAspect="1"/>
                    </pic:cNvPicPr>
                  </pic:nvPicPr>
                  <pic:blipFill>
                    <a:blip r:embed="rId21"/>
                    <a:stretch>
                      <a:fillRect/>
                    </a:stretch>
                  </pic:blipFill>
                  <pic:spPr>
                    <a:xfrm>
                      <a:off x="0" y="0"/>
                      <a:ext cx="5056909" cy="2360815"/>
                    </a:xfrm>
                    <a:prstGeom prst="rect">
                      <a:avLst/>
                    </a:prstGeom>
                  </pic:spPr>
                </pic:pic>
              </a:graphicData>
            </a:graphic>
          </wp:inline>
        </w:drawing>
      </w:r>
    </w:p>
    <w:p w14:paraId="05AFF933">
      <w:pPr>
        <w:spacing w:line="240" w:lineRule="auto"/>
        <w:ind w:firstLine="0" w:firstLineChars="0"/>
        <w:rPr>
          <w:rFonts w:cs="Times New Roman"/>
        </w:rPr>
      </w:pPr>
      <w:r>
        <w:rPr>
          <w:rFonts w:cs="Times New Roman"/>
          <w:b/>
          <w:bCs/>
        </w:rPr>
        <w:t>Fig. S</w:t>
      </w:r>
      <w:r>
        <w:rPr>
          <w:rFonts w:hint="eastAsia" w:cs="Times New Roman"/>
          <w:b/>
          <w:bCs/>
        </w:rPr>
        <w:t>8</w:t>
      </w:r>
      <w:r>
        <w:rPr>
          <w:rFonts w:cs="Times New Roman"/>
        </w:rPr>
        <w:t xml:space="preserve"> </w:t>
      </w:r>
      <w:r>
        <w:rPr>
          <w:rFonts w:hint="eastAsia" w:cs="Times New Roman"/>
          <w:lang w:val="en-US" w:eastAsia="zh-CN"/>
        </w:rPr>
        <w:t>Experimental results on w</w:t>
      </w:r>
      <w:r>
        <w:rPr>
          <w:rFonts w:cs="Times New Roman"/>
        </w:rPr>
        <w:t>avefront aberration correction. (a) Wavefront aberration before SDM correction (PV≈5.1λ, RMS≈0.95λ) and (b) Residual wavefront error after SDM correction (PV≈0.33λ, RMS≈0.06λ).</w:t>
      </w:r>
    </w:p>
    <w:p w14:paraId="4AF7D984">
      <w:pPr>
        <w:spacing w:line="240" w:lineRule="auto"/>
        <w:ind w:firstLine="480"/>
        <w:rPr>
          <w:rFonts w:cs="Times New Roman"/>
        </w:rPr>
      </w:pPr>
      <w:r>
        <w:rPr>
          <w:rFonts w:hint="eastAsia" w:cs="Times New Roman"/>
        </w:rPr>
        <w:t>Fig. S9 shows the i</w:t>
      </w:r>
      <w:r>
        <w:rPr>
          <w:rFonts w:cs="Times New Roman"/>
        </w:rPr>
        <w:t>mages of the simulated extended light source captured by the camera before and after wavefront correction.</w:t>
      </w:r>
      <w:r>
        <w:rPr>
          <w:rFonts w:hint="eastAsia" w:cs="Times New Roman"/>
        </w:rPr>
        <w:t xml:space="preserve"> </w:t>
      </w:r>
      <w:r>
        <w:rPr>
          <w:rFonts w:cs="Times New Roman"/>
        </w:rPr>
        <w:t>It can be seen that</w:t>
      </w:r>
      <w:r>
        <w:rPr>
          <w:rFonts w:hint="eastAsia" w:cs="Times New Roman"/>
        </w:rPr>
        <w:t xml:space="preserve"> </w:t>
      </w:r>
      <w:r>
        <w:rPr>
          <w:rFonts w:cs="Times New Roman"/>
        </w:rPr>
        <w:t>the image quality of extended objects is significantly improved before and after wavefront aberration correction.</w:t>
      </w:r>
      <w:r>
        <w:rPr>
          <w:rFonts w:hint="eastAsia" w:cs="Times New Roman"/>
        </w:rPr>
        <w:t xml:space="preserve"> T</w:t>
      </w:r>
      <w:r>
        <w:rPr>
          <w:rFonts w:cs="Times New Roman"/>
        </w:rPr>
        <w:t>he imaging contrast of the simulated extended target is improved by a factor of 1.72 after SDM correction.</w:t>
      </w:r>
    </w:p>
    <w:p w14:paraId="21607B71">
      <w:pPr>
        <w:spacing w:line="240" w:lineRule="auto"/>
        <w:ind w:firstLine="0" w:firstLineChars="0"/>
        <w:jc w:val="center"/>
        <w:rPr>
          <w:rFonts w:cs="Times New Roman"/>
        </w:rPr>
      </w:pPr>
      <w:r>
        <w:rPr>
          <w:rFonts w:cs="Times New Roman"/>
        </w:rPr>
        <w:drawing>
          <wp:inline distT="0" distB="0" distL="0" distR="0">
            <wp:extent cx="5274310" cy="1983105"/>
            <wp:effectExtent l="0" t="0" r="2540" b="0"/>
            <wp:docPr id="7442889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288909" name="图片 2"/>
                    <pic:cNvPicPr>
                      <a:picLocks noChangeAspect="1"/>
                    </pic:cNvPicPr>
                  </pic:nvPicPr>
                  <pic:blipFill>
                    <a:blip r:embed="rId22"/>
                    <a:stretch>
                      <a:fillRect/>
                    </a:stretch>
                  </pic:blipFill>
                  <pic:spPr>
                    <a:xfrm>
                      <a:off x="0" y="0"/>
                      <a:ext cx="5274310" cy="1983105"/>
                    </a:xfrm>
                    <a:prstGeom prst="rect">
                      <a:avLst/>
                    </a:prstGeom>
                  </pic:spPr>
                </pic:pic>
              </a:graphicData>
            </a:graphic>
          </wp:inline>
        </w:drawing>
      </w:r>
    </w:p>
    <w:p w14:paraId="0D6C5367">
      <w:pPr>
        <w:spacing w:line="240" w:lineRule="auto"/>
        <w:ind w:firstLine="0" w:firstLineChars="0"/>
        <w:rPr>
          <w:rFonts w:cs="Times New Roman"/>
        </w:rPr>
      </w:pPr>
      <w:r>
        <w:rPr>
          <w:rFonts w:cs="Times New Roman"/>
          <w:b/>
          <w:bCs/>
        </w:rPr>
        <w:t>Fig. S</w:t>
      </w:r>
      <w:r>
        <w:rPr>
          <w:rFonts w:hint="eastAsia" w:cs="Times New Roman"/>
          <w:b/>
          <w:bCs/>
        </w:rPr>
        <w:t>9</w:t>
      </w:r>
      <w:r>
        <w:rPr>
          <w:rFonts w:cs="Times New Roman"/>
        </w:rPr>
        <w:t xml:space="preserve"> </w:t>
      </w:r>
      <w:r>
        <w:rPr>
          <w:rFonts w:hint="eastAsia" w:cs="Times New Roman"/>
          <w:lang w:val="en-US" w:eastAsia="zh-CN"/>
        </w:rPr>
        <w:t>Experimental i</w:t>
      </w:r>
      <w:r>
        <w:rPr>
          <w:rFonts w:cs="Times New Roman"/>
        </w:rPr>
        <w:t>mages of the simulated extended light source captured by the camera before and after wavefront correction. (a) Image before wavefront correction and (b) Image after wavefront correction (improve about 1.72 times of the imaging contrast).</w:t>
      </w:r>
    </w:p>
    <w:p w14:paraId="0FC8567C">
      <w:pPr>
        <w:spacing w:line="240" w:lineRule="auto"/>
        <w:ind w:firstLine="480"/>
        <w:rPr>
          <w:rFonts w:cs="Times New Roman"/>
        </w:rPr>
      </w:pPr>
      <w:r>
        <w:rPr>
          <w:rFonts w:cs="Times New Roman"/>
          <w:color w:val="000000" w:themeColor="text1"/>
          <w14:textFill>
            <w14:solidFill>
              <w14:schemeClr w14:val="tx1"/>
            </w14:solidFill>
          </w14:textFill>
        </w:rPr>
        <w:t>Fig</w:t>
      </w:r>
      <w:r>
        <w:rPr>
          <w:rFonts w:cs="Times New Roman"/>
        </w:rPr>
        <w:t>. S</w:t>
      </w:r>
      <w:r>
        <w:rPr>
          <w:rFonts w:hint="eastAsia" w:cs="Times New Roman"/>
        </w:rPr>
        <w:t>10</w:t>
      </w:r>
      <w:r>
        <w:rPr>
          <w:rFonts w:cs="Times New Roman"/>
        </w:rPr>
        <w:t xml:space="preserve"> shows the dynamic tracking curves and power spectral distribution (PSD) of 600 mm SAOT along the X and Y directions before and after SDM correction. The results show that the tracking error is significantly reduced. Among them, the tracking error in the X direction is reduced from the maximum 1'' before SDM correction to about ±0.07'' after correction, and the tracking accuracy i</w:t>
      </w:r>
      <w:r>
        <w:rPr>
          <w:rFonts w:cs="Times New Roman"/>
          <w:color w:val="000000" w:themeColor="text1"/>
          <w14:textFill>
            <w14:solidFill>
              <w14:schemeClr w14:val="tx1"/>
            </w14:solidFill>
          </w14:textFill>
        </w:rPr>
        <w:t xml:space="preserve">s increased by about 14.3 times (as shown in Fig. </w:t>
      </w:r>
      <w:r>
        <w:rPr>
          <w:rFonts w:cs="Times New Roman"/>
        </w:rPr>
        <w:t>S</w:t>
      </w:r>
      <w:r>
        <w:rPr>
          <w:rFonts w:hint="eastAsia" w:cs="Times New Roman"/>
        </w:rPr>
        <w:t>10</w:t>
      </w:r>
      <w:r>
        <w:rPr>
          <w:rFonts w:cs="Times New Roman"/>
          <w:color w:val="000000" w:themeColor="text1"/>
          <w14:textFill>
            <w14:solidFill>
              <w14:schemeClr w14:val="tx1"/>
            </w14:solidFill>
          </w14:textFill>
        </w:rPr>
        <w:t xml:space="preserve"> (a)); the tracking error in the Y direction is reduced from the maximum 0.8'' before SDM correction to ±0.15'' after correction, and the correction accuracy is increased by 5.3 times (as shown in Fig. </w:t>
      </w:r>
      <w:r>
        <w:rPr>
          <w:rFonts w:cs="Times New Roman"/>
        </w:rPr>
        <w:t>S</w:t>
      </w:r>
      <w:r>
        <w:rPr>
          <w:rFonts w:hint="eastAsia" w:cs="Times New Roman"/>
        </w:rPr>
        <w:t>10</w:t>
      </w:r>
      <w:r>
        <w:rPr>
          <w:rFonts w:cs="Times New Roman"/>
          <w:color w:val="000000" w:themeColor="text1"/>
          <w14:textFill>
            <w14:solidFill>
              <w14:schemeClr w14:val="tx1"/>
            </w14:solidFill>
          </w14:textFill>
        </w:rPr>
        <w:t xml:space="preserve"> (c)). Figs. </w:t>
      </w:r>
      <w:r>
        <w:rPr>
          <w:rFonts w:cs="Times New Roman"/>
        </w:rPr>
        <w:t>S</w:t>
      </w:r>
      <w:r>
        <w:rPr>
          <w:rFonts w:hint="eastAsia" w:cs="Times New Roman"/>
        </w:rPr>
        <w:t>10</w:t>
      </w:r>
      <w:r>
        <w:rPr>
          <w:rFonts w:cs="Times New Roman"/>
          <w:color w:val="000000" w:themeColor="text1"/>
          <w14:textFill>
            <w14:solidFill>
              <w14:schemeClr w14:val="tx1"/>
            </w14:solidFill>
          </w14:textFill>
        </w:rPr>
        <w:t xml:space="preserve"> (b) and (d) show the PSD curves </w:t>
      </w:r>
      <w:r>
        <w:rPr>
          <w:rFonts w:cs="Times New Roman"/>
        </w:rPr>
        <w:t>of tracking error along the X and Y directions before and after SDM correction. According to the results of the analysis, it can be estimated that the skew error correction bandwidth is about 30 Hz.</w:t>
      </w:r>
    </w:p>
    <w:p w14:paraId="13AA9224">
      <w:pPr>
        <w:spacing w:line="240" w:lineRule="auto"/>
        <w:ind w:firstLine="0" w:firstLineChars="0"/>
        <w:jc w:val="center"/>
        <w:rPr>
          <w:rFonts w:cs="Times New Roman"/>
          <w:b/>
          <w:bCs/>
        </w:rPr>
      </w:pPr>
      <w:r>
        <w:rPr>
          <w:rFonts w:cs="Times New Roman"/>
          <w:b/>
          <w:bCs/>
        </w:rPr>
        <w:drawing>
          <wp:inline distT="0" distB="0" distL="0" distR="0">
            <wp:extent cx="5274310" cy="3352165"/>
            <wp:effectExtent l="0" t="0" r="2540" b="635"/>
            <wp:docPr id="657859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85904" name="图片 1"/>
                    <pic:cNvPicPr>
                      <a:picLocks noChangeAspect="1"/>
                    </pic:cNvPicPr>
                  </pic:nvPicPr>
                  <pic:blipFill>
                    <a:blip r:embed="rId23"/>
                    <a:stretch>
                      <a:fillRect/>
                    </a:stretch>
                  </pic:blipFill>
                  <pic:spPr>
                    <a:xfrm>
                      <a:off x="0" y="0"/>
                      <a:ext cx="5274310" cy="3352165"/>
                    </a:xfrm>
                    <a:prstGeom prst="rect">
                      <a:avLst/>
                    </a:prstGeom>
                  </pic:spPr>
                </pic:pic>
              </a:graphicData>
            </a:graphic>
          </wp:inline>
        </w:drawing>
      </w:r>
    </w:p>
    <w:p w14:paraId="11B5204F">
      <w:pPr>
        <w:spacing w:line="240" w:lineRule="auto"/>
        <w:ind w:firstLine="0" w:firstLineChars="0"/>
        <w:rPr>
          <w:rFonts w:cs="Times New Roman"/>
        </w:rPr>
      </w:pPr>
      <w:r>
        <w:rPr>
          <w:rFonts w:cs="Times New Roman"/>
          <w:b/>
          <w:bCs/>
        </w:rPr>
        <w:t>Fig. S</w:t>
      </w:r>
      <w:r>
        <w:rPr>
          <w:rFonts w:hint="eastAsia" w:cs="Times New Roman"/>
          <w:b/>
          <w:bCs/>
        </w:rPr>
        <w:t>10</w:t>
      </w:r>
      <w:r>
        <w:rPr>
          <w:rFonts w:cs="Times New Roman"/>
        </w:rPr>
        <w:t xml:space="preserve"> Tracking error before and after SDM correction. (a) Tracking error at X direction; (b) PSD of tracking error at X direction; (c) Tracking error at Y direction; (d) PSD of tracking error at Y direction.</w:t>
      </w:r>
    </w:p>
    <w:p w14:paraId="6CA53723">
      <w:pPr>
        <w:spacing w:line="240" w:lineRule="auto"/>
        <w:ind w:firstLine="480"/>
        <w:rPr>
          <w:rFonts w:cs="Times New Roman"/>
        </w:rPr>
      </w:pPr>
      <w:r>
        <w:rPr>
          <w:rFonts w:cs="Times New Roman"/>
        </w:rPr>
        <w:t>As shown in Fig. S</w:t>
      </w:r>
      <w:r>
        <w:rPr>
          <w:rFonts w:hint="eastAsia" w:cs="Times New Roman"/>
        </w:rPr>
        <w:t>1</w:t>
      </w:r>
      <w:r>
        <w:rPr>
          <w:rFonts w:cs="Times New Roman"/>
        </w:rPr>
        <w:t>1, the RTC</w:t>
      </w:r>
      <w:r>
        <w:rPr>
          <w:rFonts w:hint="eastAsia" w:cs="Times New Roman"/>
        </w:rPr>
        <w:t xml:space="preserve"> </w:t>
      </w:r>
      <w:r>
        <w:rPr>
          <w:rFonts w:cs="Times New Roman"/>
        </w:rPr>
        <w:t>is generally employed to calculate the slope distribution and even wavefront aberration with super fast speed and control SDM shape to correct the measured wavefront aberration in real-time.</w:t>
      </w:r>
    </w:p>
    <w:p w14:paraId="19411BA6">
      <w:pPr>
        <w:spacing w:line="240" w:lineRule="auto"/>
        <w:ind w:firstLine="0" w:firstLineChars="0"/>
        <w:jc w:val="center"/>
        <w:rPr>
          <w:rFonts w:cs="Times New Roman"/>
        </w:rPr>
      </w:pPr>
      <w:r>
        <w:rPr>
          <w:rFonts w:cs="Times New Roman"/>
        </w:rPr>
        <w:drawing>
          <wp:inline distT="0" distB="0" distL="0" distR="0">
            <wp:extent cx="5274310" cy="1245870"/>
            <wp:effectExtent l="0" t="0" r="2540" b="0"/>
            <wp:docPr id="167450219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502194" name="图片 4"/>
                    <pic:cNvPicPr>
                      <a:picLocks noChangeAspect="1"/>
                    </pic:cNvPicPr>
                  </pic:nvPicPr>
                  <pic:blipFill>
                    <a:blip r:embed="rId24"/>
                    <a:stretch>
                      <a:fillRect/>
                    </a:stretch>
                  </pic:blipFill>
                  <pic:spPr>
                    <a:xfrm>
                      <a:off x="0" y="0"/>
                      <a:ext cx="5274310" cy="1245870"/>
                    </a:xfrm>
                    <a:prstGeom prst="rect">
                      <a:avLst/>
                    </a:prstGeom>
                  </pic:spPr>
                </pic:pic>
              </a:graphicData>
            </a:graphic>
          </wp:inline>
        </w:drawing>
      </w:r>
    </w:p>
    <w:p w14:paraId="71CE725D">
      <w:pPr>
        <w:spacing w:line="240" w:lineRule="auto"/>
        <w:ind w:firstLine="0" w:firstLineChars="0"/>
        <w:rPr>
          <w:rFonts w:cs="Times New Roman"/>
        </w:rPr>
      </w:pPr>
      <w:r>
        <w:rPr>
          <w:rFonts w:cs="Times New Roman"/>
          <w:b/>
          <w:bCs/>
        </w:rPr>
        <w:t>Fig. S1</w:t>
      </w:r>
      <w:r>
        <w:rPr>
          <w:rFonts w:hint="eastAsia" w:cs="Times New Roman"/>
          <w:b/>
          <w:bCs/>
        </w:rPr>
        <w:t>1</w:t>
      </w:r>
      <w:r>
        <w:rPr>
          <w:rFonts w:cs="Times New Roman"/>
          <w:b/>
          <w:bCs/>
        </w:rPr>
        <w:t xml:space="preserve"> </w:t>
      </w:r>
      <w:r>
        <w:rPr>
          <w:rFonts w:cs="Times New Roman"/>
        </w:rPr>
        <w:t>Wavefront detection process of cross-correlation HS WFS. NCC: normalized cross-correlation; Recon.:reconstruction.</w:t>
      </w:r>
    </w:p>
    <w:p w14:paraId="4CBB7A77">
      <w:pPr>
        <w:spacing w:line="240" w:lineRule="auto"/>
        <w:ind w:firstLine="480"/>
        <w:rPr>
          <w:rFonts w:hint="default" w:eastAsia="宋体" w:cs="Times New Roman"/>
          <w:lang w:val="en-US" w:eastAsia="zh-CN"/>
        </w:rPr>
      </w:pPr>
      <w:r>
        <w:rPr>
          <w:rFonts w:hint="eastAsia" w:cs="Times New Roman"/>
        </w:rPr>
        <w:t>Fig. S12 shows the m</w:t>
      </w:r>
      <w:r>
        <w:rPr>
          <w:rFonts w:cs="Times New Roman"/>
        </w:rPr>
        <w:t>easurement principle of global tip-tilt based on time sequenced sub-images captured from HS WFS</w:t>
      </w:r>
      <w:r>
        <w:rPr>
          <w:rFonts w:hint="eastAsia" w:cs="Times New Roman"/>
        </w:rPr>
        <w:t xml:space="preserve">. </w:t>
      </w:r>
      <w:r>
        <w:rPr>
          <w:rFonts w:hint="eastAsia" w:cs="Times New Roman"/>
          <w:lang w:val="en-US" w:eastAsia="zh-CN"/>
        </w:rPr>
        <w:t>Different</w:t>
      </w:r>
      <w:r>
        <w:rPr>
          <w:rFonts w:cs="Times New Roman"/>
        </w:rPr>
        <w:t xml:space="preserve"> to conventional fine-tracking sensors, global tip-tilt based on HS WFS requires a reference image to be determined as the datum for the global tip-tilt measurement. </w:t>
      </w:r>
      <w:r>
        <w:rPr>
          <w:rFonts w:hint="eastAsia" w:cs="Times New Roman"/>
          <w:lang w:val="en-US" w:eastAsia="zh-CN"/>
        </w:rPr>
        <w:t xml:space="preserve">Comparing to a </w:t>
      </w:r>
      <w:r>
        <w:rPr>
          <w:rFonts w:cs="Times New Roman"/>
        </w:rPr>
        <w:t xml:space="preserve">single </w:t>
      </w:r>
      <w:r>
        <w:rPr>
          <w:rFonts w:hint="eastAsia" w:cs="Times New Roman"/>
        </w:rPr>
        <w:t xml:space="preserve">and fixed </w:t>
      </w:r>
      <w:r>
        <w:rPr>
          <w:rFonts w:cs="Times New Roman"/>
        </w:rPr>
        <w:t>image</w:t>
      </w:r>
      <w:r>
        <w:rPr>
          <w:rFonts w:hint="eastAsia" w:cs="Times New Roman"/>
          <w:lang w:val="en-US" w:eastAsia="zh-CN"/>
        </w:rPr>
        <w:t xml:space="preserve"> in a </w:t>
      </w:r>
      <w:r>
        <w:rPr>
          <w:rFonts w:cs="Times New Roman"/>
        </w:rPr>
        <w:t>conventional fine-tracking sensor</w:t>
      </w:r>
      <w:r>
        <w:rPr>
          <w:rFonts w:hint="eastAsia" w:cs="Times New Roman"/>
          <w:lang w:val="en-US" w:eastAsia="zh-CN"/>
        </w:rPr>
        <w:t xml:space="preserve">, </w:t>
      </w:r>
      <w:r>
        <w:rPr>
          <w:rFonts w:cs="Times New Roman"/>
        </w:rPr>
        <w:t>the reference image</w:t>
      </w:r>
      <w:r>
        <w:rPr>
          <w:rFonts w:hint="eastAsia" w:cs="Times New Roman"/>
          <w:lang w:val="en-US" w:eastAsia="zh-CN"/>
        </w:rPr>
        <w:t xml:space="preserve"> of our method </w:t>
      </w:r>
      <w:r>
        <w:rPr>
          <w:rFonts w:cs="Times New Roman"/>
        </w:rPr>
        <w:t xml:space="preserve">is </w:t>
      </w:r>
      <w:r>
        <w:rPr>
          <w:rFonts w:hint="eastAsia" w:cs="Times New Roman"/>
          <w:lang w:val="en-US" w:eastAsia="zh-CN"/>
        </w:rPr>
        <w:t xml:space="preserve">the </w:t>
      </w:r>
      <w:r>
        <w:rPr>
          <w:rFonts w:cs="Times New Roman"/>
        </w:rPr>
        <w:t>sub-image array</w:t>
      </w:r>
      <w:r>
        <w:rPr>
          <w:rFonts w:hint="eastAsia" w:cs="Times New Roman"/>
          <w:lang w:val="en-US" w:eastAsia="zh-CN"/>
        </w:rPr>
        <w:t xml:space="preserve"> of HS WFS. </w:t>
      </w:r>
      <w:r>
        <w:rPr>
          <w:rFonts w:cs="Times New Roman"/>
        </w:rPr>
        <w:t xml:space="preserve">Let the acquisition moment corresponding to the reference sub-image array be </w:t>
      </w:r>
      <w:r>
        <w:rPr>
          <w:rFonts w:cs="Times New Roman"/>
          <w:i/>
          <w:iCs/>
        </w:rPr>
        <w:t>t</w:t>
      </w:r>
      <w:r>
        <w:rPr>
          <w:rFonts w:cs="Times New Roman"/>
          <w:vertAlign w:val="subscript"/>
        </w:rPr>
        <w:t>0</w:t>
      </w:r>
      <w:r>
        <w:rPr>
          <w:rFonts w:cs="Times New Roman"/>
        </w:rPr>
        <w:t xml:space="preserve">, and the intensity distribution of the sub-images corresponding to the </w:t>
      </w:r>
      <w:r>
        <w:rPr>
          <w:rFonts w:cs="Times New Roman"/>
          <w:i/>
          <w:iCs/>
        </w:rPr>
        <w:t>i</w:t>
      </w:r>
      <w:r>
        <w:rPr>
          <w:rFonts w:cs="Times New Roman"/>
          <w:i/>
          <w:iCs/>
          <w:vertAlign w:val="superscript"/>
        </w:rPr>
        <w:t>th</w:t>
      </w:r>
      <w:r>
        <w:rPr>
          <w:rFonts w:cs="Times New Roman"/>
        </w:rPr>
        <w:t xml:space="preserve"> row and </w:t>
      </w:r>
      <w:r>
        <w:rPr>
          <w:rFonts w:cs="Times New Roman"/>
          <w:i/>
          <w:iCs/>
        </w:rPr>
        <w:t>j</w:t>
      </w:r>
      <w:r>
        <w:rPr>
          <w:rFonts w:cs="Times New Roman"/>
          <w:i/>
          <w:iCs/>
          <w:vertAlign w:val="superscript"/>
        </w:rPr>
        <w:t>th</w:t>
      </w:r>
      <w:r>
        <w:rPr>
          <w:rFonts w:cs="Times New Roman"/>
        </w:rPr>
        <w:t xml:space="preserve"> column of the sub-aperture be denoted as </w:t>
      </w:r>
      <w:r>
        <w:rPr>
          <w:rFonts w:cs="Times New Roman"/>
          <w:i/>
          <w:iCs/>
        </w:rPr>
        <w:t>I</w:t>
      </w:r>
      <w:r>
        <w:rPr>
          <w:rFonts w:cs="Times New Roman"/>
          <w:i/>
          <w:iCs/>
          <w:vertAlign w:val="superscript"/>
        </w:rPr>
        <w:t>t0</w:t>
      </w:r>
      <w:r>
        <w:rPr>
          <w:rFonts w:cs="Times New Roman"/>
          <w:i/>
          <w:iCs/>
          <w:vertAlign w:val="subscript"/>
        </w:rPr>
        <w:t>i,j</w:t>
      </w:r>
      <w:r>
        <w:rPr>
          <w:rFonts w:cs="Times New Roman"/>
        </w:rPr>
        <w:t>(</w:t>
      </w:r>
      <w:r>
        <w:rPr>
          <w:rFonts w:cs="Times New Roman"/>
          <w:i/>
          <w:iCs/>
        </w:rPr>
        <w:t>u</w:t>
      </w:r>
      <w:r>
        <w:rPr>
          <w:rFonts w:cs="Times New Roman"/>
        </w:rPr>
        <w:t xml:space="preserve">, </w:t>
      </w:r>
      <w:r>
        <w:rPr>
          <w:rFonts w:cs="Times New Roman"/>
          <w:i/>
          <w:iCs/>
        </w:rPr>
        <w:t>v</w:t>
      </w:r>
      <w:r>
        <w:rPr>
          <w:rFonts w:cs="Times New Roman"/>
        </w:rPr>
        <w:t>), where (</w:t>
      </w:r>
      <w:r>
        <w:rPr>
          <w:rFonts w:cs="Times New Roman"/>
          <w:i/>
          <w:iCs/>
        </w:rPr>
        <w:t>u</w:t>
      </w:r>
      <w:r>
        <w:rPr>
          <w:rFonts w:cs="Times New Roman"/>
        </w:rPr>
        <w:t xml:space="preserve">, </w:t>
      </w:r>
      <w:r>
        <w:rPr>
          <w:rFonts w:cs="Times New Roman"/>
          <w:i/>
          <w:iCs/>
        </w:rPr>
        <w:t>v</w:t>
      </w:r>
      <w:r>
        <w:rPr>
          <w:rFonts w:cs="Times New Roman"/>
        </w:rPr>
        <w:t xml:space="preserve">) is the sub-image positional variable along the horizontal and vertical coordinates. Similarly, the intensity distribution of the </w:t>
      </w:r>
      <w:r>
        <w:rPr>
          <w:rFonts w:cs="Times New Roman"/>
          <w:i/>
          <w:iCs/>
        </w:rPr>
        <w:t>i</w:t>
      </w:r>
      <w:r>
        <w:rPr>
          <w:rFonts w:cs="Times New Roman"/>
          <w:i/>
          <w:iCs/>
          <w:vertAlign w:val="superscript"/>
        </w:rPr>
        <w:t>th</w:t>
      </w:r>
      <w:r>
        <w:rPr>
          <w:rFonts w:cs="Times New Roman"/>
        </w:rPr>
        <w:t xml:space="preserve"> row and </w:t>
      </w:r>
      <w:r>
        <w:rPr>
          <w:rFonts w:cs="Times New Roman"/>
          <w:i/>
          <w:iCs/>
        </w:rPr>
        <w:t>j</w:t>
      </w:r>
      <w:r>
        <w:rPr>
          <w:rFonts w:cs="Times New Roman"/>
          <w:i/>
          <w:iCs/>
          <w:vertAlign w:val="superscript"/>
        </w:rPr>
        <w:t>th</w:t>
      </w:r>
      <w:r>
        <w:rPr>
          <w:rFonts w:cs="Times New Roman"/>
        </w:rPr>
        <w:t xml:space="preserve"> column sub-images detected by the </w:t>
      </w:r>
      <w:r>
        <w:rPr>
          <w:rFonts w:hint="eastAsia" w:cs="Times New Roman"/>
        </w:rPr>
        <w:t>HS WFS</w:t>
      </w:r>
      <w:r>
        <w:rPr>
          <w:rFonts w:cs="Times New Roman"/>
        </w:rPr>
        <w:t xml:space="preserve"> at time t is denoted as </w:t>
      </w:r>
      <w:r>
        <w:rPr>
          <w:rFonts w:cs="Times New Roman"/>
          <w:i/>
          <w:iCs/>
        </w:rPr>
        <w:t>I</w:t>
      </w:r>
      <w:r>
        <w:rPr>
          <w:rFonts w:cs="Times New Roman"/>
          <w:i/>
          <w:iCs/>
          <w:vertAlign w:val="superscript"/>
        </w:rPr>
        <w:t>t</w:t>
      </w:r>
      <w:r>
        <w:rPr>
          <w:rFonts w:cs="Times New Roman"/>
          <w:i/>
          <w:iCs/>
          <w:vertAlign w:val="subscript"/>
        </w:rPr>
        <w:t>i,j</w:t>
      </w:r>
      <w:r>
        <w:rPr>
          <w:rFonts w:cs="Times New Roman"/>
        </w:rPr>
        <w:t>(</w:t>
      </w:r>
      <w:r>
        <w:rPr>
          <w:rFonts w:cs="Times New Roman"/>
          <w:i/>
          <w:iCs/>
        </w:rPr>
        <w:t>u</w:t>
      </w:r>
      <w:r>
        <w:rPr>
          <w:rFonts w:cs="Times New Roman"/>
        </w:rPr>
        <w:t xml:space="preserve">, </w:t>
      </w:r>
      <w:r>
        <w:rPr>
          <w:rFonts w:cs="Times New Roman"/>
          <w:i/>
          <w:iCs/>
        </w:rPr>
        <w:t>v</w:t>
      </w:r>
      <w:r>
        <w:rPr>
          <w:rFonts w:cs="Times New Roman"/>
        </w:rPr>
        <w:t>). The NCC</w:t>
      </w:r>
      <w:r>
        <w:rPr>
          <w:rFonts w:hint="eastAsia" w:cs="Times New Roman"/>
        </w:rPr>
        <w:t xml:space="preserve"> </w:t>
      </w:r>
      <w:r>
        <w:rPr>
          <w:rFonts w:cs="Times New Roman"/>
        </w:rPr>
        <w:t xml:space="preserve">algorithm between sub-images similar to Eq. (1) can calculate the </w:t>
      </w:r>
      <w:r>
        <w:rPr>
          <w:rFonts w:hint="eastAsia" w:cs="Times New Roman"/>
        </w:rPr>
        <w:t xml:space="preserve">cross </w:t>
      </w:r>
      <w:r>
        <w:rPr>
          <w:rFonts w:cs="Times New Roman"/>
        </w:rPr>
        <w:t xml:space="preserve">correlation factor between the corresponding sub-images. </w:t>
      </w:r>
      <w:r>
        <w:rPr>
          <w:rFonts w:hint="eastAsia" w:cs="Times New Roman"/>
          <w:lang w:val="en-US" w:eastAsia="zh-CN"/>
        </w:rPr>
        <w:t xml:space="preserve">Finally, </w:t>
      </w:r>
      <w:r>
        <w:rPr>
          <w:rFonts w:hint="eastAsia"/>
          <w:color w:val="000000" w:themeColor="text1"/>
          <w:lang w:val="en-US" w:eastAsia="zh-CN"/>
          <w14:textFill>
            <w14:solidFill>
              <w14:schemeClr w14:val="tx1"/>
            </w14:solidFill>
          </w14:textFill>
        </w:rPr>
        <w:t>full-wavefront aberration including t</w:t>
      </w:r>
      <w:r>
        <w:rPr>
          <w:rFonts w:hint="eastAsia"/>
          <w:color w:val="000000" w:themeColor="text1"/>
          <w14:textFill>
            <w14:solidFill>
              <w14:schemeClr w14:val="tx1"/>
            </w14:solidFill>
          </w14:textFill>
        </w:rPr>
        <w:t xml:space="preserve">he global tip-tilt </w:t>
      </w:r>
      <w:r>
        <w:rPr>
          <w:rFonts w:hint="eastAsia"/>
          <w:color w:val="000000" w:themeColor="text1"/>
          <w:lang w:val="en-US" w:eastAsia="zh-CN"/>
          <w14:textFill>
            <w14:solidFill>
              <w14:schemeClr w14:val="tx1"/>
            </w14:solidFill>
          </w14:textFill>
        </w:rPr>
        <w:t>and higher-order wavefront aberrations can be detected synchronously based only one sub-image array acquired from cross-correlation HS WFS.</w:t>
      </w:r>
    </w:p>
    <w:p w14:paraId="443BCD50">
      <w:pPr>
        <w:spacing w:line="240" w:lineRule="auto"/>
        <w:ind w:firstLine="0" w:firstLineChars="0"/>
        <w:rPr>
          <w:rFonts w:cs="Times New Roman"/>
        </w:rPr>
      </w:pPr>
      <w:r>
        <w:rPr>
          <w:rFonts w:cs="Times New Roman"/>
        </w:rPr>
        <w:drawing>
          <wp:inline distT="0" distB="0" distL="0" distR="0">
            <wp:extent cx="5272405" cy="1452880"/>
            <wp:effectExtent l="0" t="0" r="4445" b="0"/>
            <wp:docPr id="6428662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866282" name="图片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5272405" cy="1452880"/>
                    </a:xfrm>
                    <a:prstGeom prst="rect">
                      <a:avLst/>
                    </a:prstGeom>
                    <a:noFill/>
                    <a:ln>
                      <a:noFill/>
                    </a:ln>
                  </pic:spPr>
                </pic:pic>
              </a:graphicData>
            </a:graphic>
          </wp:inline>
        </w:drawing>
      </w:r>
    </w:p>
    <w:p w14:paraId="4540536C">
      <w:pPr>
        <w:spacing w:line="240" w:lineRule="auto"/>
        <w:ind w:firstLine="0" w:firstLineChars="0"/>
        <w:rPr>
          <w:color w:val="000000" w:themeColor="text1"/>
          <w14:textFill>
            <w14:solidFill>
              <w14:schemeClr w14:val="tx1"/>
            </w14:solidFill>
          </w14:textFill>
        </w:rPr>
      </w:pPr>
      <w:r>
        <w:rPr>
          <w:rFonts w:hint="eastAsia"/>
          <w:b/>
          <w:bCs/>
          <w:color w:val="000000" w:themeColor="text1"/>
          <w14:textFill>
            <w14:solidFill>
              <w14:schemeClr w14:val="tx1"/>
            </w14:solidFill>
          </w14:textFill>
        </w:rPr>
        <w:t>F</w:t>
      </w:r>
      <w:r>
        <w:rPr>
          <w:b/>
          <w:bCs/>
          <w:color w:val="000000" w:themeColor="text1"/>
          <w14:textFill>
            <w14:solidFill>
              <w14:schemeClr w14:val="tx1"/>
            </w14:solidFill>
          </w14:textFill>
        </w:rPr>
        <w:t>ig.</w:t>
      </w:r>
      <w:r>
        <w:rPr>
          <w:rFonts w:hint="eastAsia"/>
          <w:b/>
          <w:bCs/>
          <w:color w:val="000000" w:themeColor="text1"/>
          <w14:textFill>
            <w14:solidFill>
              <w14:schemeClr w14:val="tx1"/>
            </w14:solidFill>
          </w14:textFill>
        </w:rPr>
        <w:t xml:space="preserve"> S12</w:t>
      </w:r>
      <w:r>
        <w:rPr>
          <w:color w:val="000000" w:themeColor="text1"/>
          <w14:textFill>
            <w14:solidFill>
              <w14:schemeClr w14:val="tx1"/>
            </w14:solidFill>
          </w14:textFill>
        </w:rPr>
        <w:t xml:space="preserve"> Measurement principle of global tip-tilt based on time sequenced sub-images captured from HS WFS</w:t>
      </w:r>
      <w:r>
        <w:rPr>
          <w:rFonts w:hint="eastAsia"/>
          <w:color w:val="000000" w:themeColor="text1"/>
          <w14:textFill>
            <w14:solidFill>
              <w14:schemeClr w14:val="tx1"/>
            </w14:solidFill>
          </w14:textFill>
        </w:rPr>
        <w:t>.</w:t>
      </w:r>
    </w:p>
    <w:p w14:paraId="4FCD3C83">
      <w:pPr>
        <w:spacing w:line="240" w:lineRule="auto"/>
        <w:ind w:firstLine="0" w:firstLineChars="0"/>
        <w:outlineLvl w:val="0"/>
        <w:rPr>
          <w:rFonts w:cs="Times New Roman"/>
          <w:b/>
          <w:color w:val="000000" w:themeColor="text1"/>
          <w14:textFill>
            <w14:solidFill>
              <w14:schemeClr w14:val="tx1"/>
            </w14:solidFill>
          </w14:textFill>
        </w:rPr>
      </w:pPr>
      <w:r>
        <w:rPr>
          <w:rFonts w:cs="Times New Roman"/>
          <w:b/>
          <w:color w:val="000000" w:themeColor="text1"/>
          <w14:textFill>
            <w14:solidFill>
              <w14:schemeClr w14:val="tx1"/>
            </w14:solidFill>
          </w14:textFill>
        </w:rPr>
        <w:t>Reference</w:t>
      </w:r>
    </w:p>
    <w:p w14:paraId="0F97451C">
      <w:pPr>
        <w:pStyle w:val="9"/>
        <w:numPr>
          <w:ilvl w:val="0"/>
          <w:numId w:val="2"/>
        </w:numPr>
        <w:rPr>
          <w:sz w:val="24"/>
        </w:rPr>
      </w:pPr>
      <w:r>
        <w:rPr>
          <w:sz w:val="24"/>
        </w:rPr>
        <w:t xml:space="preserve">Shumko, S. </w:t>
      </w:r>
      <w:r>
        <w:rPr>
          <w:rFonts w:hint="eastAsia"/>
          <w:sz w:val="24"/>
        </w:rPr>
        <w:t xml:space="preserve">et al. </w:t>
      </w:r>
      <w:r>
        <w:rPr>
          <w:sz w:val="24"/>
        </w:rPr>
        <w:t>AO-308: the high-order adaptive optics system at Big Bear Solar Observatory</w:t>
      </w:r>
      <w:r>
        <w:rPr>
          <w:rFonts w:hint="eastAsia"/>
          <w:sz w:val="24"/>
        </w:rPr>
        <w:t>.</w:t>
      </w:r>
      <w:r>
        <w:rPr>
          <w:sz w:val="24"/>
        </w:rPr>
        <w:t xml:space="preserve"> </w:t>
      </w:r>
      <w:r>
        <w:rPr>
          <w:i/>
          <w:iCs/>
          <w:sz w:val="24"/>
        </w:rPr>
        <w:t>Proc. SPIE</w:t>
      </w:r>
      <w:r>
        <w:rPr>
          <w:rFonts w:hint="eastAsia"/>
          <w:sz w:val="24"/>
        </w:rPr>
        <w:t>.</w:t>
      </w:r>
      <w:r>
        <w:rPr>
          <w:sz w:val="24"/>
        </w:rPr>
        <w:t xml:space="preserve"> </w:t>
      </w:r>
      <w:r>
        <w:rPr>
          <w:b/>
          <w:bCs/>
          <w:sz w:val="24"/>
        </w:rPr>
        <w:t>9148</w:t>
      </w:r>
      <w:r>
        <w:rPr>
          <w:rFonts w:hint="eastAsia"/>
          <w:sz w:val="24"/>
        </w:rPr>
        <w:t xml:space="preserve">, </w:t>
      </w:r>
      <w:r>
        <w:rPr>
          <w:sz w:val="24"/>
        </w:rPr>
        <w:t xml:space="preserve">914835 </w:t>
      </w:r>
      <w:r>
        <w:rPr>
          <w:rFonts w:hint="eastAsia"/>
          <w:sz w:val="24"/>
        </w:rPr>
        <w:t>(</w:t>
      </w:r>
      <w:r>
        <w:rPr>
          <w:sz w:val="24"/>
        </w:rPr>
        <w:t>2014</w:t>
      </w:r>
      <w:r>
        <w:rPr>
          <w:rFonts w:hint="eastAsia"/>
          <w:sz w:val="24"/>
        </w:rPr>
        <w:t>)</w:t>
      </w:r>
      <w:r>
        <w:rPr>
          <w:sz w:val="24"/>
        </w:rPr>
        <w:t>.</w:t>
      </w:r>
    </w:p>
    <w:p w14:paraId="3942FCA5">
      <w:pPr>
        <w:pStyle w:val="9"/>
        <w:numPr>
          <w:ilvl w:val="0"/>
          <w:numId w:val="2"/>
        </w:numPr>
        <w:rPr>
          <w:sz w:val="24"/>
        </w:rPr>
      </w:pPr>
      <w:r>
        <w:rPr>
          <w:sz w:val="24"/>
        </w:rPr>
        <w:t xml:space="preserve">Greenwood, D. P. Mutual Coherence Function of a Wavefront Corrected by Zonal Adaptive Optics. </w:t>
      </w:r>
      <w:r>
        <w:rPr>
          <w:i/>
          <w:iCs/>
          <w:sz w:val="24"/>
        </w:rPr>
        <w:t>J. Opt. Soc. Am</w:t>
      </w:r>
      <w:r>
        <w:rPr>
          <w:sz w:val="24"/>
        </w:rPr>
        <w:t xml:space="preserve">. </w:t>
      </w:r>
      <w:r>
        <w:rPr>
          <w:b/>
          <w:bCs/>
          <w:sz w:val="24"/>
        </w:rPr>
        <w:t>69</w:t>
      </w:r>
      <w:r>
        <w:rPr>
          <w:sz w:val="24"/>
        </w:rPr>
        <w:t>, 549-553 (1979).</w:t>
      </w:r>
    </w:p>
    <w:p w14:paraId="59E305A1">
      <w:pPr>
        <w:pStyle w:val="9"/>
        <w:numPr>
          <w:ilvl w:val="0"/>
          <w:numId w:val="2"/>
        </w:numPr>
        <w:rPr>
          <w:sz w:val="24"/>
        </w:rPr>
      </w:pPr>
      <w:r>
        <w:rPr>
          <w:sz w:val="24"/>
        </w:rPr>
        <w:t xml:space="preserve">Wang, Z., Bovik, A. C., Sheikh, H. R. &amp; Simoncelli, E. P. Image Quality Assessment: From Error Visibility to Structural Similarity. </w:t>
      </w:r>
      <w:r>
        <w:rPr>
          <w:i/>
          <w:iCs/>
          <w:sz w:val="24"/>
        </w:rPr>
        <w:t>IEEE Transactions on Image Processing</w:t>
      </w:r>
      <w:r>
        <w:rPr>
          <w:sz w:val="24"/>
        </w:rPr>
        <w:t xml:space="preserve">. </w:t>
      </w:r>
      <w:r>
        <w:rPr>
          <w:b/>
          <w:bCs/>
          <w:sz w:val="24"/>
        </w:rPr>
        <w:t>13</w:t>
      </w:r>
      <w:r>
        <w:rPr>
          <w:sz w:val="24"/>
        </w:rPr>
        <w:t>(4):600- 612(2004).</w:t>
      </w:r>
    </w:p>
    <w:p w14:paraId="1BEB2096">
      <w:pPr>
        <w:ind w:firstLine="480"/>
        <w:rPr>
          <w:rFonts w:hint="eastAsia"/>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83262311"/>
    </w:sdtPr>
    <w:sdtContent>
      <w:p w14:paraId="035F5976">
        <w:pPr>
          <w:pStyle w:val="2"/>
          <w:ind w:firstLine="360"/>
          <w:jc w:val="center"/>
        </w:pPr>
        <w:r>
          <w:fldChar w:fldCharType="begin"/>
        </w:r>
        <w:r>
          <w:instrText xml:space="preserve">PAGE   \* MERGEFORMAT</w:instrText>
        </w:r>
        <w:r>
          <w:fldChar w:fldCharType="separate"/>
        </w:r>
        <w:r>
          <w:rPr>
            <w:lang w:val="zh-CN"/>
          </w:rPr>
          <w:t>2</w:t>
        </w:r>
        <w:r>
          <w:fldChar w:fldCharType="end"/>
        </w:r>
      </w:p>
    </w:sdtContent>
  </w:sdt>
  <w:p w14:paraId="7BF7BD69">
    <w:pPr>
      <w:pStyle w:val="2"/>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C776D">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FF478">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480" w:lineRule="auto"/>
        <w:ind w:firstLine="480"/>
      </w:pPr>
      <w:r>
        <w:separator/>
      </w:r>
    </w:p>
  </w:footnote>
  <w:footnote w:type="continuationSeparator" w:id="1">
    <w:p>
      <w:pPr>
        <w:spacing w:line="48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163A8D">
    <w:pPr>
      <w:pStyle w:val="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0C9B10">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9EFA2F">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C641DF"/>
    <w:multiLevelType w:val="multilevel"/>
    <w:tmpl w:val="68C641DF"/>
    <w:lvl w:ilvl="0" w:tentative="0">
      <w:start w:val="1"/>
      <w:numFmt w:val="decimal"/>
      <w:pStyle w:val="9"/>
      <w:lvlText w:val="%1."/>
      <w:lvlJc w:val="left"/>
      <w:pPr>
        <w:ind w:left="440" w:hanging="440"/>
      </w:pPr>
      <w:rPr>
        <w:rFonts w:hint="default"/>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zc3sTCyMDG3NDU1NDdU0lEKTi0uzszPAykwrAUA5UaOACwAAAA="/>
    <w:docVar w:name="commondata" w:val="eyJoZGlkIjoiYTM2MDUzYzgwMWM3N2JkYzA4NGU3YmY3MjQ2MDBjOTEifQ=="/>
  </w:docVars>
  <w:rsids>
    <w:rsidRoot w:val="004D14F9"/>
    <w:rsid w:val="004D14F9"/>
    <w:rsid w:val="00A64CFD"/>
    <w:rsid w:val="00BD6321"/>
    <w:rsid w:val="00E77AD6"/>
    <w:rsid w:val="025C0D3C"/>
    <w:rsid w:val="1D752B34"/>
    <w:rsid w:val="22A229EA"/>
    <w:rsid w:val="2F765FC4"/>
    <w:rsid w:val="3A8E6B3B"/>
    <w:rsid w:val="3B084B8F"/>
    <w:rsid w:val="3B4C7172"/>
    <w:rsid w:val="3FFD04A9"/>
    <w:rsid w:val="414A70EA"/>
    <w:rsid w:val="4AD27F4E"/>
    <w:rsid w:val="4F950C90"/>
    <w:rsid w:val="549F610D"/>
    <w:rsid w:val="57250B4B"/>
    <w:rsid w:val="6697560D"/>
    <w:rsid w:val="6B50728C"/>
    <w:rsid w:val="6D8B6DD7"/>
    <w:rsid w:val="6ED3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80" w:lineRule="auto"/>
      <w:ind w:firstLine="200" w:firstLineChars="200"/>
      <w:jc w:val="both"/>
    </w:pPr>
    <w:rPr>
      <w:rFonts w:ascii="Times New Roman" w:hAnsi="Times New Roman" w:eastAsia="宋体" w:cs="宋体"/>
      <w:kern w:val="0"/>
      <w:sz w:val="24"/>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tabs>
        <w:tab w:val="center" w:pos="4153"/>
        <w:tab w:val="right" w:pos="8306"/>
      </w:tabs>
      <w:snapToGrid w:val="0"/>
      <w:jc w:val="center"/>
    </w:pPr>
    <w:rPr>
      <w:sz w:val="18"/>
      <w:szCs w:val="18"/>
    </w:rPr>
  </w:style>
  <w:style w:type="table" w:styleId="5">
    <w:name w:val="Table Grid"/>
    <w:basedOn w:val="4"/>
    <w:autoRedefine/>
    <w:unhideWhenUsed/>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字符"/>
    <w:basedOn w:val="6"/>
    <w:link w:val="2"/>
    <w:qFormat/>
    <w:uiPriority w:val="99"/>
    <w:rPr>
      <w:rFonts w:ascii="Times New Roman" w:hAnsi="Times New Roman" w:eastAsia="宋体" w:cs="宋体"/>
      <w:kern w:val="0"/>
      <w:sz w:val="18"/>
      <w:szCs w:val="18"/>
    </w:rPr>
  </w:style>
  <w:style w:type="character" w:customStyle="1" w:styleId="8">
    <w:name w:val="页眉 字符"/>
    <w:basedOn w:val="6"/>
    <w:link w:val="3"/>
    <w:qFormat/>
    <w:uiPriority w:val="99"/>
    <w:rPr>
      <w:rFonts w:ascii="Times New Roman" w:hAnsi="Times New Roman" w:eastAsia="宋体" w:cs="宋体"/>
      <w:kern w:val="0"/>
      <w:sz w:val="18"/>
      <w:szCs w:val="18"/>
    </w:rPr>
  </w:style>
  <w:style w:type="paragraph" w:styleId="9">
    <w:name w:val="List Paragraph"/>
    <w:basedOn w:val="1"/>
    <w:autoRedefine/>
    <w:qFormat/>
    <w:uiPriority w:val="34"/>
    <w:pPr>
      <w:widowControl w:val="0"/>
      <w:numPr>
        <w:ilvl w:val="0"/>
        <w:numId w:val="1"/>
      </w:numPr>
      <w:spacing w:line="240" w:lineRule="auto"/>
      <w:ind w:firstLine="0" w:firstLineChars="0"/>
    </w:pPr>
    <w:rPr>
      <w:rFonts w:cs="Times New Roman" w:eastAsiaTheme="minorEastAsia"/>
      <w:kern w:val="2"/>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image" Target="media/image13.jpeg"/><Relationship Id="rId24" Type="http://schemas.openxmlformats.org/officeDocument/2006/relationships/image" Target="media/image12.jpeg"/><Relationship Id="rId23" Type="http://schemas.openxmlformats.org/officeDocument/2006/relationships/image" Target="media/image11.jpeg"/><Relationship Id="rId22" Type="http://schemas.openxmlformats.org/officeDocument/2006/relationships/image" Target="media/image10.jpeg"/><Relationship Id="rId21" Type="http://schemas.openxmlformats.org/officeDocument/2006/relationships/image" Target="media/image9.jpe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jpeg"/><Relationship Id="rId18" Type="http://schemas.openxmlformats.org/officeDocument/2006/relationships/image" Target="media/image6.jpe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wmf"/><Relationship Id="rId14" Type="http://schemas.openxmlformats.org/officeDocument/2006/relationships/oleObject" Target="embeddings/oleObject1.bin"/><Relationship Id="rId13" Type="http://schemas.openxmlformats.org/officeDocument/2006/relationships/image" Target="media/image2.pn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3282</Words>
  <Characters>17775</Characters>
  <Lines>149</Lines>
  <Paragraphs>42</Paragraphs>
  <TotalTime>0</TotalTime>
  <ScaleCrop>false</ScaleCrop>
  <LinksUpToDate>false</LinksUpToDate>
  <CharactersWithSpaces>20935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2024-08-10T07:24:00Z</dcterms:created>
  <dc:creator>皓佗 刘</dc:creator>
  <cp:lastModifiedBy>顾乃庭</cp:lastModifiedBy>
  <dcterms:modified xsi:type="dcterms:W3CDTF">2024-08-22T09:50:15Z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782326E76E0D4622AFA2FC852B68A361_13</vt:lpwstr>
  </property>
</Properties>
</file>