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151" w:rsidRDefault="00DB196B" w:rsidP="00DB196B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9F9FF"/>
        </w:rPr>
      </w:pPr>
      <w:r w:rsidRPr="00DB196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9F9FF"/>
        </w:rPr>
        <w:t>S</w:t>
      </w:r>
      <w:r w:rsidRPr="00DB196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9F9FF"/>
        </w:rPr>
        <w:t>upplementary file</w:t>
      </w:r>
    </w:p>
    <w:p w:rsidR="00DB196B" w:rsidRDefault="00DB196B" w:rsidP="00DB196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B196B" w:rsidRPr="00206F44" w:rsidRDefault="00DB196B" w:rsidP="00DB196B">
      <w:pPr>
        <w:pStyle w:val="ListParagraph"/>
        <w:bidi w:val="0"/>
        <w:ind w:left="0"/>
        <w:jc w:val="both"/>
        <w:rPr>
          <w:b/>
          <w:bCs/>
        </w:rPr>
      </w:pPr>
      <w:r w:rsidRPr="00206F44">
        <w:rPr>
          <w:rFonts w:ascii="Times New Roman" w:hAnsi="Times New Roman" w:cs="Times New Roman"/>
          <w:b/>
          <w:bCs/>
          <w:sz w:val="28"/>
          <w:szCs w:val="28"/>
        </w:rPr>
        <w:t>Quantification of ochratoxin A in a coffee sample utilizing an electrochemical aptasensor fabricated through encapsulation of toluidine blue within a Zn-based metal-organic framework</w:t>
      </w:r>
    </w:p>
    <w:p w:rsidR="00DB196B" w:rsidRPr="00206F44" w:rsidRDefault="00DB196B" w:rsidP="00DB196B">
      <w:pPr>
        <w:pStyle w:val="ListParagraph"/>
        <w:autoSpaceDE w:val="0"/>
        <w:autoSpaceDN w:val="0"/>
        <w:bidi w:val="0"/>
        <w:adjustRightInd w:val="0"/>
        <w:spacing w:after="0" w:line="360" w:lineRule="auto"/>
        <w:ind w:left="0"/>
        <w:rPr>
          <w:rFonts w:asciiTheme="majorBidi" w:hAnsiTheme="majorBidi" w:cstheme="majorBidi"/>
          <w:b/>
          <w:bCs/>
          <w:sz w:val="28"/>
          <w:szCs w:val="28"/>
        </w:rPr>
      </w:pPr>
    </w:p>
    <w:p w:rsidR="00DB196B" w:rsidRPr="00206F44" w:rsidRDefault="00DB196B" w:rsidP="00DB196B">
      <w:pPr>
        <w:pStyle w:val="ListParagraph"/>
        <w:autoSpaceDE w:val="0"/>
        <w:autoSpaceDN w:val="0"/>
        <w:bidi w:val="0"/>
        <w:adjustRightInd w:val="0"/>
        <w:spacing w:after="0" w:line="360" w:lineRule="auto"/>
        <w:ind w:left="0"/>
        <w:rPr>
          <w:rFonts w:asciiTheme="majorBidi" w:hAnsiTheme="majorBidi" w:cstheme="majorBidi"/>
          <w:b/>
          <w:bCs/>
          <w:sz w:val="28"/>
          <w:szCs w:val="28"/>
        </w:rPr>
      </w:pPr>
    </w:p>
    <w:p w:rsidR="00DB196B" w:rsidRPr="00206F44" w:rsidRDefault="00DB196B" w:rsidP="00DB196B">
      <w:pPr>
        <w:pStyle w:val="ListParagraph"/>
        <w:autoSpaceDE w:val="0"/>
        <w:autoSpaceDN w:val="0"/>
        <w:bidi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spellStart"/>
      <w:r w:rsidRPr="00206F44">
        <w:rPr>
          <w:rFonts w:ascii="Times New Roman" w:hAnsi="Times New Roman" w:cs="Times New Roman"/>
          <w:sz w:val="28"/>
          <w:szCs w:val="28"/>
        </w:rPr>
        <w:t>Elaheh</w:t>
      </w:r>
      <w:proofErr w:type="spellEnd"/>
      <w:r w:rsidRPr="0020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F44">
        <w:rPr>
          <w:rFonts w:ascii="Times New Roman" w:hAnsi="Times New Roman" w:cs="Times New Roman"/>
          <w:sz w:val="28"/>
          <w:szCs w:val="28"/>
        </w:rPr>
        <w:t>Amini</w:t>
      </w:r>
      <w:proofErr w:type="spellEnd"/>
      <w:r w:rsidRPr="00206F44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206F44">
        <w:rPr>
          <w:rFonts w:ascii="Times New Roman" w:hAnsi="Times New Roman" w:cs="Times New Roman"/>
          <w:sz w:val="28"/>
          <w:szCs w:val="28"/>
        </w:rPr>
        <w:t>Nogorani</w:t>
      </w:r>
      <w:proofErr w:type="spellEnd"/>
      <w:r w:rsidRPr="00206F44">
        <w:rPr>
          <w:rFonts w:ascii="Times New Roman" w:hAnsi="Times New Roman" w:cs="Times New Roman"/>
          <w:sz w:val="28"/>
          <w:szCs w:val="28"/>
        </w:rPr>
        <w:t>,</w:t>
      </w:r>
      <w:r w:rsidRPr="00206F44">
        <w:rPr>
          <w:rFonts w:asciiTheme="majorBidi" w:hAnsiTheme="majorBidi" w:cstheme="majorBidi"/>
          <w:sz w:val="28"/>
          <w:szCs w:val="28"/>
        </w:rPr>
        <w:t xml:space="preserve"> Hamid R. Zare*, </w:t>
      </w:r>
      <w:proofErr w:type="spellStart"/>
      <w:r w:rsidRPr="00206F44">
        <w:rPr>
          <w:rFonts w:ascii="Times New Roman" w:hAnsi="Times New Roman" w:cs="Times New Roman"/>
          <w:sz w:val="28"/>
          <w:szCs w:val="28"/>
        </w:rPr>
        <w:t>Fahime</w:t>
      </w:r>
      <w:proofErr w:type="spellEnd"/>
      <w:r w:rsidRPr="0020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6F44">
        <w:rPr>
          <w:rFonts w:ascii="Times New Roman" w:hAnsi="Times New Roman" w:cs="Times New Roman"/>
          <w:sz w:val="28"/>
          <w:szCs w:val="28"/>
        </w:rPr>
        <w:t>Jahangiri</w:t>
      </w:r>
      <w:proofErr w:type="spellEnd"/>
      <w:r w:rsidRPr="00206F44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206F44">
        <w:rPr>
          <w:rFonts w:ascii="Times New Roman" w:hAnsi="Times New Roman" w:cs="Times New Roman"/>
          <w:sz w:val="28"/>
          <w:szCs w:val="28"/>
        </w:rPr>
        <w:t>Dehaghani</w:t>
      </w:r>
      <w:proofErr w:type="spellEnd"/>
      <w:r w:rsidRPr="00206F44">
        <w:rPr>
          <w:rFonts w:ascii="Times New Roman" w:hAnsi="Times New Roman" w:cs="Times New Roman"/>
          <w:sz w:val="28"/>
          <w:szCs w:val="28"/>
        </w:rPr>
        <w:t xml:space="preserve">, Ali </w:t>
      </w:r>
      <w:proofErr w:type="spellStart"/>
      <w:r w:rsidRPr="00206F44">
        <w:rPr>
          <w:rFonts w:ascii="Times New Roman" w:hAnsi="Times New Roman" w:cs="Times New Roman"/>
          <w:sz w:val="28"/>
          <w:szCs w:val="28"/>
        </w:rPr>
        <w:t>Benvidi</w:t>
      </w:r>
      <w:proofErr w:type="spellEnd"/>
      <w:r w:rsidRPr="00206F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196B" w:rsidRPr="00206F44" w:rsidRDefault="00DB196B" w:rsidP="00DB196B">
      <w:pPr>
        <w:pStyle w:val="ListParagraph"/>
        <w:autoSpaceDE w:val="0"/>
        <w:autoSpaceDN w:val="0"/>
        <w:bidi w:val="0"/>
        <w:adjustRightInd w:val="0"/>
        <w:spacing w:line="48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</w:p>
    <w:p w:rsidR="00DB196B" w:rsidRPr="003351C3" w:rsidRDefault="00DB196B" w:rsidP="00DB196B">
      <w:pPr>
        <w:pStyle w:val="ListParagraph"/>
        <w:autoSpaceDE w:val="0"/>
        <w:autoSpaceDN w:val="0"/>
        <w:bidi w:val="0"/>
        <w:adjustRightInd w:val="0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351C3">
        <w:rPr>
          <w:rFonts w:ascii="Times New Roman" w:hAnsi="Times New Roman" w:cs="Times New Roman"/>
          <w:sz w:val="24"/>
          <w:szCs w:val="24"/>
        </w:rPr>
        <w:t>Department of Chemistry, Yazd University, Yazd, 89195–741, Iran</w:t>
      </w:r>
    </w:p>
    <w:p w:rsidR="00DB196B" w:rsidRPr="003351C3" w:rsidRDefault="00DB196B" w:rsidP="00DB196B">
      <w:pPr>
        <w:pStyle w:val="ListParagraph"/>
        <w:autoSpaceDE w:val="0"/>
        <w:autoSpaceDN w:val="0"/>
        <w:bidi w:val="0"/>
        <w:adjustRightInd w:val="0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351C3">
        <w:rPr>
          <w:rFonts w:ascii="Times New Roman" w:hAnsi="Times New Roman" w:cs="Times New Roman"/>
          <w:sz w:val="24"/>
          <w:szCs w:val="24"/>
        </w:rPr>
        <w:t>Fax No.: +98 353 8210991 Tel. No.: +98 353 1232669</w:t>
      </w:r>
    </w:p>
    <w:p w:rsidR="00DB196B" w:rsidRPr="003351C3" w:rsidRDefault="00DB196B" w:rsidP="00DB196B">
      <w:pPr>
        <w:pStyle w:val="ListParagraph"/>
        <w:autoSpaceDE w:val="0"/>
        <w:autoSpaceDN w:val="0"/>
        <w:bidi w:val="0"/>
        <w:adjustRightInd w:val="0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351C3">
        <w:rPr>
          <w:rFonts w:ascii="Times New Roman" w:hAnsi="Times New Roman" w:cs="Times New Roman"/>
          <w:sz w:val="24"/>
          <w:szCs w:val="24"/>
        </w:rPr>
        <w:t>E–mail address: hrzare@yazd.ac.ir</w:t>
      </w:r>
    </w:p>
    <w:p w:rsidR="0013351B" w:rsidRDefault="0013351B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:rsidR="00997E12" w:rsidRPr="00095E79" w:rsidRDefault="00997E12" w:rsidP="005C3756">
      <w:pPr>
        <w:jc w:val="both"/>
        <w:rPr>
          <w:rFonts w:ascii="Times New Roman" w:hAnsi="Times New Roman" w:cs="Times New Roman"/>
          <w:sz w:val="24"/>
          <w:szCs w:val="24"/>
          <w:rtl/>
        </w:rPr>
      </w:pPr>
      <w:r w:rsidRPr="00997E12"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99316" cy="2790908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9316" cy="2790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5E79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5C3756">
        <w:rPr>
          <w:rFonts w:asciiTheme="majorBidi" w:hAnsiTheme="majorBidi" w:cstheme="majorBidi"/>
          <w:b/>
          <w:bCs/>
          <w:sz w:val="24"/>
          <w:szCs w:val="24"/>
        </w:rPr>
        <w:t>S1</w:t>
      </w:r>
      <w:r w:rsidRPr="00095E7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(A)</w:t>
      </w:r>
      <w:r w:rsidRPr="00095E79">
        <w:rPr>
          <w:rFonts w:asciiTheme="majorBidi" w:eastAsia="TimesNewRoman" w:hAnsiTheme="majorBidi" w:cstheme="majorBidi"/>
          <w:sz w:val="24"/>
          <w:szCs w:val="24"/>
        </w:rPr>
        <w:t xml:space="preserve"> Electrochemical imp</w:t>
      </w:r>
      <w:r>
        <w:rPr>
          <w:rFonts w:asciiTheme="majorBidi" w:eastAsia="TimesNewRoman" w:hAnsiTheme="majorBidi" w:cstheme="majorBidi"/>
          <w:sz w:val="24"/>
          <w:szCs w:val="24"/>
        </w:rPr>
        <w:t>edance spectroscopy plots and (</w:t>
      </w:r>
      <w:r w:rsidR="005C3756">
        <w:rPr>
          <w:rFonts w:asciiTheme="majorBidi" w:eastAsia="TimesNewRoman" w:hAnsiTheme="majorBidi" w:cstheme="majorBidi"/>
          <w:sz w:val="24"/>
          <w:szCs w:val="24"/>
        </w:rPr>
        <w:t>B</w:t>
      </w:r>
      <w:r w:rsidRPr="00095E79">
        <w:rPr>
          <w:rFonts w:asciiTheme="majorBidi" w:eastAsia="TimesNewRoman" w:hAnsiTheme="majorBidi" w:cstheme="majorBidi"/>
          <w:sz w:val="24"/>
          <w:szCs w:val="24"/>
        </w:rPr>
        <w:t xml:space="preserve">) cyclic voltammograms of </w:t>
      </w:r>
      <w:r w:rsidRPr="00095E79">
        <w:rPr>
          <w:rFonts w:asciiTheme="majorBidi" w:hAnsiTheme="majorBidi" w:cstheme="majorBidi"/>
          <w:sz w:val="24"/>
          <w:szCs w:val="24"/>
        </w:rPr>
        <w:t xml:space="preserve">BGCE, </w:t>
      </w:r>
      <w:proofErr w:type="spellStart"/>
      <w:r w:rsidRPr="00095E79">
        <w:rPr>
          <w:rFonts w:asciiTheme="majorBidi" w:hAnsiTheme="majorBidi" w:cstheme="majorBidi"/>
          <w:sz w:val="24"/>
          <w:szCs w:val="24"/>
        </w:rPr>
        <w:t>TB@Zn</w:t>
      </w:r>
      <w:r>
        <w:rPr>
          <w:rFonts w:asciiTheme="majorBidi" w:hAnsiTheme="majorBidi" w:cstheme="majorBidi"/>
          <w:sz w:val="24"/>
          <w:szCs w:val="24"/>
        </w:rPr>
        <w:t>-</w:t>
      </w:r>
      <w:r w:rsidRPr="00095E79">
        <w:rPr>
          <w:rFonts w:asciiTheme="majorBidi" w:hAnsiTheme="majorBidi" w:cstheme="majorBidi"/>
          <w:sz w:val="24"/>
          <w:szCs w:val="24"/>
        </w:rPr>
        <w:t>MOF</w:t>
      </w:r>
      <w:proofErr w:type="spellEnd"/>
      <w:r w:rsidRPr="00095E79">
        <w:rPr>
          <w:rFonts w:asciiTheme="majorBidi" w:hAnsiTheme="majorBidi" w:cstheme="majorBidi"/>
          <w:sz w:val="24"/>
          <w:szCs w:val="24"/>
        </w:rPr>
        <w:t>, Apt/</w:t>
      </w:r>
      <w:proofErr w:type="spellStart"/>
      <w:r w:rsidRPr="00095E79">
        <w:rPr>
          <w:rFonts w:asciiTheme="majorBidi" w:hAnsiTheme="majorBidi" w:cstheme="majorBidi"/>
          <w:sz w:val="24"/>
          <w:szCs w:val="24"/>
        </w:rPr>
        <w:t>TB@Zn</w:t>
      </w:r>
      <w:r>
        <w:rPr>
          <w:rFonts w:asciiTheme="majorBidi" w:hAnsiTheme="majorBidi" w:cstheme="majorBidi"/>
          <w:sz w:val="24"/>
          <w:szCs w:val="24"/>
        </w:rPr>
        <w:t>-</w:t>
      </w:r>
      <w:r w:rsidRPr="00095E79">
        <w:rPr>
          <w:rFonts w:asciiTheme="majorBidi" w:hAnsiTheme="majorBidi" w:cstheme="majorBidi"/>
          <w:sz w:val="24"/>
          <w:szCs w:val="24"/>
        </w:rPr>
        <w:t>MOF</w:t>
      </w:r>
      <w:proofErr w:type="spellEnd"/>
      <w:r w:rsidRPr="00095E79">
        <w:rPr>
          <w:rFonts w:asciiTheme="majorBidi" w:hAnsiTheme="majorBidi" w:cstheme="majorBidi"/>
          <w:sz w:val="24"/>
          <w:szCs w:val="24"/>
        </w:rPr>
        <w:t xml:space="preserve">/GCE </w:t>
      </w:r>
      <w:r w:rsidRPr="00095E79">
        <w:rPr>
          <w:rFonts w:asciiTheme="majorBidi" w:eastAsia="TimesNewRoman" w:hAnsiTheme="majorBidi" w:cstheme="majorBidi"/>
          <w:sz w:val="24"/>
          <w:szCs w:val="24"/>
        </w:rPr>
        <w:t xml:space="preserve">and </w:t>
      </w:r>
      <w:r w:rsidRPr="00095E79">
        <w:rPr>
          <w:rFonts w:asciiTheme="majorBidi" w:hAnsiTheme="majorBidi" w:cstheme="majorBidi"/>
          <w:sz w:val="24"/>
          <w:szCs w:val="24"/>
        </w:rPr>
        <w:t>OTA/BSA/Apt/</w:t>
      </w:r>
      <w:proofErr w:type="spellStart"/>
      <w:r w:rsidRPr="00095E79">
        <w:rPr>
          <w:rFonts w:asciiTheme="majorBidi" w:hAnsiTheme="majorBidi" w:cstheme="majorBidi"/>
          <w:sz w:val="24"/>
          <w:szCs w:val="24"/>
        </w:rPr>
        <w:t>TB@Zn</w:t>
      </w:r>
      <w:r>
        <w:rPr>
          <w:rFonts w:asciiTheme="majorBidi" w:hAnsiTheme="majorBidi" w:cstheme="majorBidi"/>
          <w:sz w:val="24"/>
          <w:szCs w:val="24"/>
        </w:rPr>
        <w:t>-</w:t>
      </w:r>
      <w:r w:rsidRPr="00095E79">
        <w:rPr>
          <w:rFonts w:asciiTheme="majorBidi" w:hAnsiTheme="majorBidi" w:cstheme="majorBidi"/>
          <w:sz w:val="24"/>
          <w:szCs w:val="24"/>
        </w:rPr>
        <w:t>MOF</w:t>
      </w:r>
      <w:proofErr w:type="spellEnd"/>
      <w:r w:rsidRPr="00095E79">
        <w:rPr>
          <w:rFonts w:asciiTheme="majorBidi" w:hAnsiTheme="majorBidi" w:cstheme="majorBidi"/>
          <w:sz w:val="24"/>
          <w:szCs w:val="24"/>
        </w:rPr>
        <w:t>/</w:t>
      </w:r>
      <w:r w:rsidRPr="00095E79">
        <w:rPr>
          <w:rFonts w:asciiTheme="majorBidi" w:eastAsia="TimesNewRoman" w:hAnsiTheme="majorBidi" w:cstheme="majorBidi"/>
          <w:sz w:val="24"/>
          <w:szCs w:val="24"/>
        </w:rPr>
        <w:t xml:space="preserve">GCE in a </w:t>
      </w:r>
      <w:r w:rsidR="005C3756" w:rsidRPr="00095E79">
        <w:rPr>
          <w:rFonts w:asciiTheme="majorBidi" w:eastAsia="TimesNewRoman" w:hAnsiTheme="majorBidi" w:cstheme="majorBidi"/>
          <w:sz w:val="24"/>
          <w:szCs w:val="24"/>
        </w:rPr>
        <w:t>0.1 M</w:t>
      </w:r>
      <w:r w:rsidR="005C3756" w:rsidRPr="00095E79">
        <w:rPr>
          <w:rFonts w:asciiTheme="majorBidi" w:eastAsia="TimesNewRoman" w:hAnsiTheme="majorBidi" w:cstheme="majorBidi"/>
          <w:sz w:val="24"/>
          <w:szCs w:val="24"/>
        </w:rPr>
        <w:t xml:space="preserve"> </w:t>
      </w:r>
      <w:r w:rsidRPr="00095E79">
        <w:rPr>
          <w:rFonts w:asciiTheme="majorBidi" w:eastAsia="TimesNewRoman" w:hAnsiTheme="majorBidi" w:cstheme="majorBidi"/>
          <w:sz w:val="24"/>
          <w:szCs w:val="24"/>
        </w:rPr>
        <w:t xml:space="preserve">phosphate buffer (pH 7.0) containing 5.0 </w:t>
      </w:r>
      <w:proofErr w:type="spellStart"/>
      <w:r w:rsidRPr="00095E79">
        <w:rPr>
          <w:rFonts w:asciiTheme="majorBidi" w:eastAsia="TimesNewRoman" w:hAnsiTheme="majorBidi" w:cstheme="majorBidi"/>
          <w:sz w:val="24"/>
          <w:szCs w:val="24"/>
        </w:rPr>
        <w:t>mM</w:t>
      </w:r>
      <w:proofErr w:type="spellEnd"/>
      <w:r w:rsidRPr="00095E79">
        <w:rPr>
          <w:rFonts w:asciiTheme="majorBidi" w:eastAsia="TimesNewRoman" w:hAnsiTheme="majorBidi" w:cstheme="majorBidi"/>
          <w:sz w:val="24"/>
          <w:szCs w:val="24"/>
        </w:rPr>
        <w:t xml:space="preserve"> [Fe(CN)</w:t>
      </w:r>
      <w:r w:rsidRPr="00095E79">
        <w:rPr>
          <w:rFonts w:asciiTheme="majorBidi" w:eastAsia="TimesNewRoman" w:hAnsiTheme="majorBidi" w:cstheme="majorBidi"/>
          <w:sz w:val="24"/>
          <w:szCs w:val="24"/>
          <w:vertAlign w:val="subscript"/>
        </w:rPr>
        <w:t>6</w:t>
      </w:r>
      <w:r w:rsidRPr="00095E79">
        <w:rPr>
          <w:rFonts w:asciiTheme="majorBidi" w:eastAsia="TimesNewRoman" w:hAnsiTheme="majorBidi" w:cstheme="majorBidi"/>
          <w:sz w:val="24"/>
          <w:szCs w:val="24"/>
        </w:rPr>
        <w:t>]</w:t>
      </w:r>
      <w:r w:rsidRPr="00095E79">
        <w:rPr>
          <w:rFonts w:asciiTheme="majorBidi" w:eastAsia="TimesNewRoman" w:hAnsiTheme="majorBidi" w:cstheme="majorBidi"/>
          <w:sz w:val="24"/>
          <w:szCs w:val="24"/>
          <w:vertAlign w:val="superscript"/>
        </w:rPr>
        <w:t>3−/4−</w:t>
      </w:r>
      <w:r w:rsidRPr="00095E79">
        <w:rPr>
          <w:rFonts w:asciiTheme="majorBidi" w:eastAsia="TimesNewRoman" w:hAnsiTheme="majorBidi" w:cstheme="majorBidi"/>
          <w:sz w:val="24"/>
          <w:szCs w:val="24"/>
        </w:rPr>
        <w:t xml:space="preserve"> and 0.1 M </w:t>
      </w:r>
      <w:proofErr w:type="spellStart"/>
      <w:r w:rsidRPr="00095E79">
        <w:rPr>
          <w:rFonts w:asciiTheme="majorBidi" w:eastAsia="TimesNewRoman" w:hAnsiTheme="majorBidi" w:cstheme="majorBidi"/>
          <w:sz w:val="24"/>
          <w:szCs w:val="24"/>
        </w:rPr>
        <w:t>KCl</w:t>
      </w:r>
      <w:proofErr w:type="spellEnd"/>
      <w:r w:rsidRPr="00095E79">
        <w:rPr>
          <w:rFonts w:asciiTheme="majorBidi" w:eastAsia="TimesNewRoman" w:hAnsiTheme="majorBidi" w:cstheme="majorBidi"/>
          <w:sz w:val="24"/>
          <w:szCs w:val="24"/>
        </w:rPr>
        <w:t xml:space="preserve">. </w:t>
      </w:r>
      <w:r w:rsidRPr="00095E79">
        <w:rPr>
          <w:rFonts w:ascii="Times New Roman" w:hAnsi="Times New Roman" w:cs="Times New Roman"/>
          <w:sz w:val="24"/>
          <w:szCs w:val="24"/>
        </w:rPr>
        <w:t>OTA concentration: 0.5 ng mL</w:t>
      </w:r>
      <w:r w:rsidRPr="00095E79">
        <w:rPr>
          <w:rFonts w:ascii="Times New Roman" w:hAnsi="Times New Roman" w:cs="Times New Roman"/>
          <w:sz w:val="24"/>
          <w:szCs w:val="24"/>
          <w:vertAlign w:val="superscript"/>
        </w:rPr>
        <w:t>–1</w:t>
      </w:r>
      <w:r w:rsidR="005C3756">
        <w:rPr>
          <w:rFonts w:ascii="Times New Roman" w:hAnsi="Times New Roman" w:cs="Times New Roman"/>
          <w:sz w:val="23"/>
          <w:szCs w:val="23"/>
        </w:rPr>
        <w:t>.</w:t>
      </w:r>
    </w:p>
    <w:p w:rsidR="005B2854" w:rsidRDefault="005B2854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B2854" w:rsidRDefault="005B2854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B2854" w:rsidRDefault="005B2854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B2854" w:rsidRDefault="005B2854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B2854" w:rsidRDefault="005B2854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B2854" w:rsidRDefault="005B2854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B2854" w:rsidRDefault="005B2854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B2854" w:rsidRDefault="005B2854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351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95E79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ACF5624" wp14:editId="2F289E69">
            <wp:simplePos x="0" y="0"/>
            <wp:positionH relativeFrom="margin">
              <wp:posOffset>63795</wp:posOffset>
            </wp:positionH>
            <wp:positionV relativeFrom="paragraph">
              <wp:posOffset>284081</wp:posOffset>
            </wp:positionV>
            <wp:extent cx="5943600" cy="4379595"/>
            <wp:effectExtent l="0" t="0" r="0" b="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7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51B" w:rsidRDefault="0013351B" w:rsidP="008C5780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095E79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C578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95E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Effect </w:t>
      </w:r>
      <w:r w:rsidRPr="00095E79">
        <w:rPr>
          <w:rFonts w:ascii="Times New Roman" w:hAnsi="Times New Roman" w:cs="Times New Roman"/>
          <w:sz w:val="24"/>
          <w:szCs w:val="24"/>
        </w:rPr>
        <w:t>of (A) aptamer concentration (aptamer immobilization time: 4 hours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95E79">
        <w:rPr>
          <w:rFonts w:ascii="Times New Roman" w:hAnsi="Times New Roman" w:cs="Times New Roman"/>
          <w:sz w:val="24"/>
          <w:szCs w:val="24"/>
        </w:rPr>
        <w:t xml:space="preserve"> OTA incubation time: 2 hours), (B) </w:t>
      </w:r>
      <w:r>
        <w:rPr>
          <w:rFonts w:ascii="Times New Roman" w:hAnsi="Times New Roman" w:cs="Times New Roman"/>
          <w:sz w:val="24"/>
          <w:szCs w:val="24"/>
        </w:rPr>
        <w:t>aptamer</w:t>
      </w:r>
      <w:r w:rsidRPr="00095E79">
        <w:rPr>
          <w:rFonts w:ascii="Times New Roman" w:hAnsi="Times New Roman" w:cs="Times New Roman"/>
          <w:sz w:val="24"/>
          <w:szCs w:val="24"/>
        </w:rPr>
        <w:t xml:space="preserve"> immobilization time (aptamer concentration: 7.0 µM, OTA incubation time: 2 hours), and (C) OTA incubation </w:t>
      </w:r>
      <w:r w:rsidRPr="00095E79">
        <w:rPr>
          <w:rFonts w:asciiTheme="majorBidi" w:eastAsia="TimesNewRoman" w:hAnsiTheme="majorBidi" w:cstheme="majorBidi"/>
          <w:sz w:val="24"/>
          <w:szCs w:val="24"/>
        </w:rPr>
        <w:t>time</w:t>
      </w:r>
      <w:r w:rsidRPr="00095E79">
        <w:rPr>
          <w:rFonts w:ascii="Times New Roman" w:hAnsi="Times New Roman" w:cs="Times New Roman"/>
          <w:sz w:val="24"/>
          <w:szCs w:val="24"/>
        </w:rPr>
        <w:t xml:space="preserve"> (aptamer concentration: 7.0 µM, aptamer immobilization time: 4 hours). OTA concentration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095E79">
        <w:rPr>
          <w:rFonts w:ascii="Times New Roman" w:hAnsi="Times New Roman" w:cs="Times New Roman"/>
          <w:sz w:val="24"/>
          <w:szCs w:val="24"/>
        </w:rPr>
        <w:t xml:space="preserve"> 0.5 ng mL</w:t>
      </w:r>
      <w:r w:rsidRPr="00095E79">
        <w:rPr>
          <w:rFonts w:ascii="Times New Roman" w:hAnsi="Times New Roman" w:cs="Times New Roman"/>
          <w:sz w:val="24"/>
          <w:szCs w:val="24"/>
          <w:vertAlign w:val="superscript"/>
        </w:rPr>
        <w:t>–1</w:t>
      </w:r>
      <w:r w:rsidRPr="00095E79">
        <w:rPr>
          <w:rFonts w:ascii="Times New Roman" w:hAnsi="Times New Roman" w:cs="Times New Roman"/>
          <w:sz w:val="24"/>
          <w:szCs w:val="24"/>
        </w:rPr>
        <w:t xml:space="preserve"> in all experiments</w:t>
      </w:r>
      <w:r w:rsidRPr="00095E79">
        <w:rPr>
          <w:rFonts w:asciiTheme="majorBidi" w:eastAsia="TimesNewRoman" w:hAnsiTheme="majorBidi" w:cstheme="majorBidi"/>
          <w:sz w:val="24"/>
          <w:szCs w:val="24"/>
        </w:rPr>
        <w:t>.</w:t>
      </w:r>
      <w:r w:rsidRPr="00095E79">
        <w:rPr>
          <w:rFonts w:asciiTheme="majorBidi" w:eastAsia="TimesNewRoman" w:hAnsiTheme="majorBidi" w:cstheme="majorBidi"/>
          <w:sz w:val="24"/>
          <w:szCs w:val="24"/>
          <w:rtl/>
        </w:rPr>
        <w:t xml:space="preserve"> </w:t>
      </w:r>
      <w:proofErr w:type="spellStart"/>
      <w:r>
        <w:rPr>
          <w:rFonts w:asciiTheme="majorBidi" w:eastAsia="TimesNewRoman" w:hAnsiTheme="majorBidi" w:cstheme="majorBidi"/>
          <w:sz w:val="24"/>
          <w:szCs w:val="24"/>
        </w:rPr>
        <w:t>E</w:t>
      </w:r>
      <w:r w:rsidRPr="00095E79">
        <w:rPr>
          <w:rFonts w:ascii="Times New Roman" w:hAnsi="Times New Roman" w:cs="Times New Roman"/>
          <w:sz w:val="24"/>
          <w:szCs w:val="24"/>
        </w:rPr>
        <w:t>error</w:t>
      </w:r>
      <w:proofErr w:type="spellEnd"/>
      <w:r w:rsidRPr="00095E79">
        <w:rPr>
          <w:rFonts w:ascii="Times New Roman" w:hAnsi="Times New Roman" w:cs="Times New Roman"/>
          <w:sz w:val="24"/>
          <w:szCs w:val="24"/>
        </w:rPr>
        <w:t xml:space="preserve"> bars represent the relative standard deviation of three independent </w:t>
      </w:r>
      <w:r>
        <w:rPr>
          <w:rFonts w:ascii="Times New Roman" w:hAnsi="Times New Roman" w:cs="Times New Roman"/>
          <w:sz w:val="24"/>
          <w:szCs w:val="24"/>
        </w:rPr>
        <w:t>experiments</w:t>
      </w:r>
    </w:p>
    <w:p w:rsidR="0013351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351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351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351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351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351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351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13351B" w:rsidRPr="00095E79" w:rsidRDefault="003C50A0" w:rsidP="008C5780">
      <w:pPr>
        <w:jc w:val="both"/>
        <w:rPr>
          <w:rFonts w:asciiTheme="majorBidi" w:eastAsia="TimesNewRoman" w:hAnsiTheme="majorBidi" w:cstheme="majorBidi"/>
          <w:sz w:val="24"/>
          <w:szCs w:val="24"/>
        </w:rPr>
      </w:pPr>
      <w:r w:rsidRPr="003C50A0">
        <w:lastRenderedPageBreak/>
        <w:drawing>
          <wp:inline distT="0" distB="0" distL="0" distR="0">
            <wp:extent cx="5943600" cy="45346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34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351B" w:rsidRPr="00095E79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13351B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8C5780">
        <w:rPr>
          <w:rFonts w:asciiTheme="majorBidi" w:hAnsiTheme="majorBidi" w:cstheme="majorBidi"/>
          <w:b/>
          <w:bCs/>
          <w:sz w:val="24"/>
          <w:szCs w:val="24"/>
        </w:rPr>
        <w:t>3</w:t>
      </w:r>
      <w:bookmarkStart w:id="0" w:name="_GoBack"/>
      <w:bookmarkEnd w:id="0"/>
      <w:r w:rsidR="0013351B" w:rsidRPr="00095E79">
        <w:rPr>
          <w:rFonts w:asciiTheme="majorBidi" w:hAnsiTheme="majorBidi" w:cstheme="majorBidi"/>
          <w:sz w:val="24"/>
          <w:szCs w:val="24"/>
        </w:rPr>
        <w:t xml:space="preserve"> </w:t>
      </w:r>
      <w:r w:rsidR="0013351B">
        <w:rPr>
          <w:rFonts w:asciiTheme="majorBidi" w:hAnsiTheme="majorBidi" w:cstheme="majorBidi"/>
          <w:sz w:val="24"/>
          <w:szCs w:val="24"/>
        </w:rPr>
        <w:t xml:space="preserve">Current response of </w:t>
      </w:r>
      <w:r w:rsidR="0013351B" w:rsidRPr="00095E79">
        <w:rPr>
          <w:rFonts w:asciiTheme="majorBidi" w:eastAsia="TimesNewRoman" w:hAnsiTheme="majorBidi" w:cstheme="majorBidi"/>
          <w:sz w:val="24"/>
          <w:szCs w:val="24"/>
        </w:rPr>
        <w:t xml:space="preserve">the aptasensor for the determination of </w:t>
      </w:r>
      <w:r w:rsidR="0013351B" w:rsidRPr="00095E79">
        <w:rPr>
          <w:rFonts w:asciiTheme="majorBidi" w:hAnsiTheme="majorBidi" w:cstheme="majorBidi"/>
          <w:sz w:val="24"/>
          <w:szCs w:val="24"/>
        </w:rPr>
        <w:t>50.0 ng mL</w:t>
      </w:r>
      <w:r w:rsidR="0013351B">
        <w:rPr>
          <w:rFonts w:asciiTheme="majorBidi" w:hAnsiTheme="majorBidi" w:cstheme="majorBidi"/>
          <w:sz w:val="24"/>
          <w:szCs w:val="24"/>
          <w:vertAlign w:val="superscript"/>
        </w:rPr>
        <w:t>-</w:t>
      </w:r>
      <w:r w:rsidR="0013351B" w:rsidRPr="00095E79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13351B" w:rsidRPr="00095E79">
        <w:rPr>
          <w:rFonts w:asciiTheme="majorBidi" w:eastAsia="TimesNewRoman" w:hAnsiTheme="majorBidi" w:cstheme="majorBidi"/>
          <w:sz w:val="24"/>
          <w:szCs w:val="24"/>
        </w:rPr>
        <w:t xml:space="preserve"> OTA in the presence of AFM1</w:t>
      </w:r>
      <w:r w:rsidR="0013351B" w:rsidRPr="00095E79">
        <w:rPr>
          <w:rFonts w:asciiTheme="majorBidi" w:hAnsiTheme="majorBidi" w:cstheme="majorBidi"/>
          <w:sz w:val="24"/>
          <w:szCs w:val="24"/>
        </w:rPr>
        <w:t xml:space="preserve"> (50.0 ng mL</w:t>
      </w:r>
      <w:r w:rsidR="0013351B">
        <w:rPr>
          <w:rFonts w:asciiTheme="majorBidi" w:hAnsiTheme="majorBidi" w:cstheme="majorBidi"/>
          <w:sz w:val="24"/>
          <w:szCs w:val="24"/>
          <w:vertAlign w:val="superscript"/>
        </w:rPr>
        <w:t>-</w:t>
      </w:r>
      <w:r w:rsidR="0013351B" w:rsidRPr="00095E79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13351B" w:rsidRPr="00095E79">
        <w:rPr>
          <w:rFonts w:asciiTheme="majorBidi" w:hAnsiTheme="majorBidi" w:cstheme="majorBidi"/>
          <w:sz w:val="24"/>
          <w:szCs w:val="24"/>
        </w:rPr>
        <w:t>),</w:t>
      </w:r>
      <w:r w:rsidR="0013351B" w:rsidRPr="00095E79">
        <w:rPr>
          <w:rFonts w:asciiTheme="majorBidi" w:eastAsia="TimesNewRoman" w:hAnsiTheme="majorBidi" w:cstheme="majorBidi"/>
          <w:sz w:val="24"/>
          <w:szCs w:val="24"/>
        </w:rPr>
        <w:t xml:space="preserve"> AFB1 </w:t>
      </w:r>
      <w:r w:rsidR="0013351B" w:rsidRPr="00095E79">
        <w:rPr>
          <w:rFonts w:asciiTheme="majorBidi" w:hAnsiTheme="majorBidi" w:cstheme="majorBidi"/>
          <w:sz w:val="24"/>
          <w:szCs w:val="24"/>
        </w:rPr>
        <w:t>(50.0 ng mL</w:t>
      </w:r>
      <w:r w:rsidR="0013351B" w:rsidRPr="00095E79">
        <w:rPr>
          <w:rFonts w:asciiTheme="majorBidi" w:hAnsiTheme="majorBidi" w:cstheme="majorBidi"/>
          <w:sz w:val="24"/>
          <w:szCs w:val="24"/>
          <w:vertAlign w:val="superscript"/>
        </w:rPr>
        <w:t>–1</w:t>
      </w:r>
      <w:r w:rsidR="0013351B" w:rsidRPr="00095E79">
        <w:rPr>
          <w:rFonts w:asciiTheme="majorBidi" w:hAnsiTheme="majorBidi" w:cstheme="majorBidi"/>
          <w:sz w:val="24"/>
          <w:szCs w:val="24"/>
        </w:rPr>
        <w:t>)</w:t>
      </w:r>
      <w:r w:rsidR="0013351B" w:rsidRPr="00095E79">
        <w:rPr>
          <w:rFonts w:asciiTheme="majorBidi" w:eastAsia="TimesNewRoman" w:hAnsiTheme="majorBidi" w:cstheme="majorBidi"/>
          <w:sz w:val="24"/>
          <w:szCs w:val="24"/>
        </w:rPr>
        <w:t xml:space="preserve"> and a mixture of both. </w:t>
      </w:r>
      <w:r w:rsidR="0013351B">
        <w:rPr>
          <w:rFonts w:asciiTheme="majorBidi" w:eastAsia="TimesNewRoman" w:hAnsiTheme="majorBidi" w:cstheme="majorBidi"/>
          <w:sz w:val="24"/>
          <w:szCs w:val="24"/>
        </w:rPr>
        <w:t>E</w:t>
      </w:r>
      <w:r w:rsidR="0013351B" w:rsidRPr="00095E79">
        <w:rPr>
          <w:rFonts w:asciiTheme="majorBidi" w:eastAsia="TimesNewRoman" w:hAnsiTheme="majorBidi" w:cstheme="majorBidi"/>
          <w:sz w:val="24"/>
          <w:szCs w:val="24"/>
        </w:rPr>
        <w:t>rror bars represent the standard deviation obtained from three replicate experiments</w:t>
      </w:r>
      <w:r w:rsidR="0013351B">
        <w:rPr>
          <w:rFonts w:asciiTheme="majorBidi" w:eastAsia="TimesNewRoman" w:hAnsiTheme="majorBidi" w:cstheme="majorBidi"/>
          <w:sz w:val="24"/>
          <w:szCs w:val="24"/>
        </w:rPr>
        <w:t>.</w:t>
      </w:r>
    </w:p>
    <w:p w:rsidR="0013351B" w:rsidRPr="00DB196B" w:rsidRDefault="0013351B" w:rsidP="001335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13351B" w:rsidRPr="00DB19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96B"/>
    <w:rsid w:val="0013351B"/>
    <w:rsid w:val="003C50A0"/>
    <w:rsid w:val="005B2854"/>
    <w:rsid w:val="005C3756"/>
    <w:rsid w:val="00643004"/>
    <w:rsid w:val="008C5780"/>
    <w:rsid w:val="00997E12"/>
    <w:rsid w:val="00A91151"/>
    <w:rsid w:val="00DB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DFE7A"/>
  <w15:chartTrackingRefBased/>
  <w15:docId w15:val="{F86C22BC-0A73-4536-8DF3-0F293ABB3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196B"/>
    <w:pPr>
      <w:bidi/>
      <w:spacing w:after="200" w:line="276" w:lineRule="auto"/>
      <w:ind w:left="720"/>
      <w:contextualSpacing/>
    </w:pPr>
    <w:rPr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hrzare</dc:creator>
  <cp:keywords/>
  <dc:description/>
  <cp:lastModifiedBy>hrzare</cp:lastModifiedBy>
  <cp:revision>5</cp:revision>
  <dcterms:created xsi:type="dcterms:W3CDTF">2024-08-23T07:37:00Z</dcterms:created>
  <dcterms:modified xsi:type="dcterms:W3CDTF">2024-08-23T09:59:00Z</dcterms:modified>
</cp:coreProperties>
</file>