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C3E1E">
      <w:pPr>
        <w:spacing w:line="480" w:lineRule="auto"/>
        <w:rPr>
          <w:b/>
          <w:bCs w:val="0"/>
        </w:rPr>
      </w:pPr>
      <w:bookmarkStart w:id="0" w:name="_Hlk167644484"/>
      <w:r>
        <w:rPr>
          <w:b/>
        </w:rPr>
        <w:t>Translucent Color Organic Solar Cells: From Power Generating Windowpanes to Aesthetic Art</w:t>
      </w:r>
    </w:p>
    <w:bookmarkEnd w:id="0"/>
    <w:p w14:paraId="3FB7D479">
      <w:pPr>
        <w:pStyle w:val="45"/>
        <w:spacing w:after="120" w:afterLines="50" w:line="480" w:lineRule="auto"/>
        <w:jc w:val="both"/>
      </w:pPr>
      <w:r>
        <w:t>Baozhong Deng</w:t>
      </w:r>
      <w:r>
        <w:rPr>
          <w:vertAlign w:val="superscript"/>
        </w:rPr>
        <w:t>1#</w:t>
      </w:r>
      <w:r>
        <w:t>, Yi Li</w:t>
      </w:r>
      <w:r>
        <w:rPr>
          <w:vertAlign w:val="superscript"/>
        </w:rPr>
        <w:t>1#</w:t>
      </w:r>
      <w:r>
        <w:t>, Kaiwen Zheng</w:t>
      </w:r>
      <w:r>
        <w:rPr>
          <w:vertAlign w:val="superscript"/>
        </w:rPr>
        <w:t>1</w:t>
      </w:r>
      <w:r>
        <w:t>, Zhouyi Lu</w:t>
      </w:r>
      <w:r>
        <w:rPr>
          <w:vertAlign w:val="superscript"/>
        </w:rPr>
        <w:t>1</w:t>
      </w:r>
      <w:r>
        <w:t>, Tao Xu</w:t>
      </w:r>
      <w:r>
        <w:rPr>
          <w:vertAlign w:val="superscript"/>
        </w:rPr>
        <w:t>1</w:t>
      </w:r>
      <w:r>
        <w:t>*, Shenghao Wang</w:t>
      </w:r>
      <w:r>
        <w:rPr>
          <w:vertAlign w:val="superscript"/>
        </w:rPr>
        <w:t>2</w:t>
      </w:r>
      <w:r>
        <w:t>, Xiaoshu Luo</w:t>
      </w:r>
      <w:r>
        <w:rPr>
          <w:vertAlign w:val="superscript"/>
        </w:rPr>
        <w:t>3</w:t>
      </w:r>
      <w:r>
        <w:t>, Bruno Grandidier</w:t>
      </w:r>
      <w:r>
        <w:rPr>
          <w:vertAlign w:val="superscript"/>
        </w:rPr>
        <w:t>4</w:t>
      </w:r>
      <w:r>
        <w:t>, Jianhua Zhang</w:t>
      </w:r>
      <w:r>
        <w:rPr>
          <w:vertAlign w:val="superscript"/>
        </w:rPr>
        <w:t>1</w:t>
      </w:r>
      <w:r>
        <w:t>*, and Furong Zhu</w:t>
      </w:r>
      <w:r>
        <w:rPr>
          <w:vertAlign w:val="superscript"/>
        </w:rPr>
        <w:t>5</w:t>
      </w:r>
      <w:r>
        <w:t>*</w:t>
      </w:r>
    </w:p>
    <w:p w14:paraId="0A5EFC0E">
      <w:pPr>
        <w:spacing w:line="480" w:lineRule="auto"/>
        <w:rPr>
          <w:rFonts w:eastAsia="等线"/>
        </w:rPr>
      </w:pPr>
      <w:r>
        <w:rPr>
          <w:vertAlign w:val="superscript"/>
        </w:rPr>
        <w:t xml:space="preserve">1. </w:t>
      </w:r>
      <w:r>
        <w:t xml:space="preserve">School of Microelectronics, Shanghai University, </w:t>
      </w:r>
      <w:r>
        <w:rPr>
          <w:rFonts w:hint="eastAsia"/>
        </w:rPr>
        <w:t xml:space="preserve">200444 </w:t>
      </w:r>
      <w:r>
        <w:t>Shanghai, China</w:t>
      </w:r>
    </w:p>
    <w:p w14:paraId="78F84D3F">
      <w:pPr>
        <w:spacing w:line="480" w:lineRule="auto"/>
      </w:pPr>
      <w:r>
        <w:rPr>
          <w:vertAlign w:val="superscript"/>
        </w:rPr>
        <w:t>2.</w:t>
      </w:r>
      <w:r>
        <w:t xml:space="preserve"> Materials Genome Institute, Shanghai University, </w:t>
      </w:r>
      <w:r>
        <w:rPr>
          <w:rFonts w:hint="eastAsia"/>
        </w:rPr>
        <w:t xml:space="preserve">200444 </w:t>
      </w:r>
      <w:r>
        <w:t>Shanghai, China</w:t>
      </w:r>
    </w:p>
    <w:p w14:paraId="68B85183">
      <w:pPr>
        <w:spacing w:line="480" w:lineRule="auto"/>
      </w:pPr>
      <w:r>
        <w:rPr>
          <w:vertAlign w:val="superscript"/>
        </w:rPr>
        <w:t>3.</w:t>
      </w:r>
      <w:r>
        <w:t xml:space="preserve"> </w:t>
      </w:r>
      <w:r>
        <w:rPr>
          <w:rFonts w:hint="eastAsia"/>
        </w:rPr>
        <w:t>Shanghai Academy of Fine Arts, Shanghai University, 200444</w:t>
      </w:r>
      <w:r>
        <w:t xml:space="preserve"> </w:t>
      </w:r>
      <w:r>
        <w:rPr>
          <w:rFonts w:hint="eastAsia"/>
        </w:rPr>
        <w:t>Shanghai, China</w:t>
      </w:r>
    </w:p>
    <w:p w14:paraId="021BF086">
      <w:pPr>
        <w:spacing w:line="480" w:lineRule="auto"/>
        <w:rPr>
          <w:lang w:val="fr-FR"/>
        </w:rPr>
      </w:pPr>
      <w:r>
        <w:rPr>
          <w:vertAlign w:val="superscript"/>
          <w:lang w:val="fr-FR"/>
        </w:rPr>
        <w:t>4.</w:t>
      </w:r>
      <w:r>
        <w:rPr>
          <w:rFonts w:hint="eastAsia" w:eastAsia="宋体"/>
          <w:vertAlign w:val="superscript"/>
          <w:lang w:val="fr-FR"/>
        </w:rPr>
        <w:t xml:space="preserve"> </w:t>
      </w:r>
      <w:r>
        <w:rPr>
          <w:lang w:val="fr-FR"/>
        </w:rPr>
        <w:t>Université de Lille</w:t>
      </w:r>
      <w:r>
        <w:rPr>
          <w:rFonts w:hint="eastAsia"/>
          <w:lang w:val="fr-FR"/>
        </w:rPr>
        <w:t xml:space="preserve">, </w:t>
      </w:r>
      <w:r>
        <w:rPr>
          <w:lang w:val="fr-FR"/>
        </w:rPr>
        <w:t>CNRS</w:t>
      </w:r>
      <w:r>
        <w:rPr>
          <w:rFonts w:hint="eastAsia"/>
          <w:lang w:val="fr-FR"/>
        </w:rPr>
        <w:t xml:space="preserve">, </w:t>
      </w:r>
      <w:r>
        <w:rPr>
          <w:lang w:val="fr-FR"/>
        </w:rPr>
        <w:t>Centrale Lille</w:t>
      </w:r>
      <w:r>
        <w:rPr>
          <w:rFonts w:hint="eastAsia"/>
          <w:lang w:val="fr-FR"/>
        </w:rPr>
        <w:t xml:space="preserve">, </w:t>
      </w:r>
      <w:r>
        <w:rPr>
          <w:lang w:val="fr-FR"/>
        </w:rPr>
        <w:t>Université Polytechnique Hauts-de-France</w:t>
      </w:r>
      <w:r>
        <w:rPr>
          <w:rFonts w:hint="eastAsia"/>
          <w:lang w:val="fr-FR"/>
        </w:rPr>
        <w:t>, Junia-</w:t>
      </w:r>
      <w:r>
        <w:rPr>
          <w:lang w:val="fr-FR"/>
        </w:rPr>
        <w:t xml:space="preserve">ISEN, UMR 8520 </w:t>
      </w:r>
      <w:r>
        <w:rPr>
          <w:rFonts w:hint="eastAsia"/>
          <w:lang w:val="fr-FR"/>
        </w:rPr>
        <w:t>-</w:t>
      </w:r>
      <w:r>
        <w:rPr>
          <w:lang w:val="fr-FR"/>
        </w:rPr>
        <w:t xml:space="preserve"> IEMN, </w:t>
      </w:r>
      <w:r>
        <w:rPr>
          <w:rFonts w:hint="eastAsia"/>
          <w:lang w:val="fr-FR"/>
        </w:rPr>
        <w:t xml:space="preserve">59000 </w:t>
      </w:r>
      <w:r>
        <w:rPr>
          <w:lang w:val="fr-FR"/>
        </w:rPr>
        <w:t>Lille, France</w:t>
      </w:r>
    </w:p>
    <w:p w14:paraId="04E707AB">
      <w:pPr>
        <w:pStyle w:val="46"/>
        <w:spacing w:after="120" w:afterLines="50" w:line="480" w:lineRule="auto"/>
      </w:pPr>
      <w:r>
        <w:rPr>
          <w:vertAlign w:val="superscript"/>
        </w:rPr>
        <w:t>5.</w:t>
      </w:r>
      <w:r>
        <w:t xml:space="preserve"> Department of Physics, Research Centre of Excellence for Organic Electronics and Institute of Advanced Materials, Hong Kong Baptist University, Kowloon Tong, Hong Kong, China, </w:t>
      </w:r>
    </w:p>
    <w:p w14:paraId="4D2AA2A4">
      <w:pPr>
        <w:pStyle w:val="46"/>
        <w:spacing w:after="120" w:afterLines="50" w:line="480" w:lineRule="auto"/>
      </w:pPr>
      <w:r>
        <w:rPr>
          <w:vertAlign w:val="superscript"/>
        </w:rPr>
        <w:t>#</w:t>
      </w:r>
      <w:r>
        <w:t xml:space="preserve"> </w:t>
      </w:r>
      <w:r>
        <w:rPr>
          <w:rFonts w:hint="eastAsia"/>
        </w:rPr>
        <w:t>These authors contributed equally to this work.</w:t>
      </w:r>
    </w:p>
    <w:p w14:paraId="77AE4AAC">
      <w:pPr>
        <w:pStyle w:val="46"/>
        <w:spacing w:after="120" w:afterLines="50" w:line="480" w:lineRule="auto"/>
        <w:rPr>
          <w:lang w:val="fr-FR"/>
        </w:rPr>
      </w:pPr>
      <w:r>
        <w:rPr>
          <w:lang w:val="fr-FR"/>
        </w:rPr>
        <w:t xml:space="preserve">E-mail: </w:t>
      </w:r>
      <w:r>
        <w:fldChar w:fldCharType="begin"/>
      </w:r>
      <w:r>
        <w:instrText xml:space="preserve"> HYPERLINK "xtld@shu.edu.cn" </w:instrText>
      </w:r>
      <w:r>
        <w:fldChar w:fldCharType="separate"/>
      </w:r>
      <w:r>
        <w:rPr>
          <w:rStyle w:val="22"/>
          <w:lang w:val="fr-FR"/>
        </w:rPr>
        <w:t>xtld@shu.edu.cn</w:t>
      </w:r>
      <w:r>
        <w:rPr>
          <w:rStyle w:val="22"/>
          <w:lang w:val="fr-FR"/>
        </w:rPr>
        <w:fldChar w:fldCharType="end"/>
      </w:r>
      <w:r>
        <w:rPr>
          <w:lang w:val="fr-FR"/>
        </w:rPr>
        <w:t xml:space="preserve">, </w:t>
      </w:r>
      <w:r>
        <w:fldChar w:fldCharType="begin"/>
      </w:r>
      <w:r>
        <w:instrText xml:space="preserve"> HYPERLINK "jhzhang@oa.shu.edu.cn" </w:instrText>
      </w:r>
      <w:r>
        <w:fldChar w:fldCharType="separate"/>
      </w:r>
      <w:r>
        <w:rPr>
          <w:rStyle w:val="22"/>
          <w:lang w:val="fr-FR"/>
        </w:rPr>
        <w:t>jhzhang@oa.shu.edu.cn</w:t>
      </w:r>
      <w:r>
        <w:rPr>
          <w:rStyle w:val="22"/>
          <w:lang w:val="fr-FR"/>
        </w:rPr>
        <w:fldChar w:fldCharType="end"/>
      </w:r>
      <w:r>
        <w:rPr>
          <w:rStyle w:val="50"/>
          <w:lang w:val="fr-FR"/>
        </w:rPr>
        <w:t xml:space="preserve">, </w:t>
      </w:r>
      <w:r>
        <w:rPr>
          <w:lang w:val="fr-FR"/>
        </w:rPr>
        <w:t xml:space="preserve"> </w:t>
      </w:r>
      <w:r>
        <w:fldChar w:fldCharType="begin"/>
      </w:r>
      <w:r>
        <w:instrText xml:space="preserve"> HYPERLINK "frzhu@hkbu.edu.hk" </w:instrText>
      </w:r>
      <w:r>
        <w:fldChar w:fldCharType="separate"/>
      </w:r>
      <w:r>
        <w:rPr>
          <w:rStyle w:val="22"/>
          <w:lang w:val="fr-FR" w:eastAsia="zh-CN"/>
        </w:rPr>
        <w:t>frzhu@hkbu.edu.hk</w:t>
      </w:r>
      <w:r>
        <w:rPr>
          <w:rStyle w:val="22"/>
          <w:lang w:val="fr-FR" w:eastAsia="zh-CN"/>
        </w:rPr>
        <w:fldChar w:fldCharType="end"/>
      </w:r>
    </w:p>
    <w:p w14:paraId="7473AFF4">
      <w:pPr>
        <w:rPr>
          <w:bCs w:val="0"/>
          <w:lang w:val="fr-FR"/>
        </w:rPr>
      </w:pPr>
    </w:p>
    <w:p w14:paraId="7303D640">
      <w:bookmarkStart w:id="1" w:name="_GoBack"/>
      <w:bookmarkEnd w:id="1"/>
      <w:r>
        <w:br w:type="page"/>
      </w:r>
    </w:p>
    <w:p w14:paraId="753F4EC8">
      <w:pPr>
        <w:jc w:val="center"/>
      </w:pPr>
      <w:r>
        <w:drawing>
          <wp:inline distT="0" distB="0" distL="114300" distR="114300">
            <wp:extent cx="2879725" cy="2280920"/>
            <wp:effectExtent l="0" t="0" r="15875" b="5080"/>
            <wp:docPr id="1" name="图片 1" descr="幻灯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幻灯片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BE407A">
      <w:pPr>
        <w:jc w:val="center"/>
      </w:pPr>
      <w:r>
        <w:rPr>
          <w:b/>
        </w:rPr>
        <w:t>Figure S1.</w:t>
      </w:r>
      <w:r>
        <w:t xml:space="preserve"> Absorption spectra of PM6 and L8-BO.</w:t>
      </w:r>
    </w:p>
    <w:p w14:paraId="55BC3880">
      <w:pPr>
        <w:jc w:val="center"/>
      </w:pPr>
    </w:p>
    <w:p w14:paraId="30D05879">
      <w:pPr>
        <w:jc w:val="center"/>
      </w:pPr>
    </w:p>
    <w:p w14:paraId="43DEE8DB">
      <w:pPr>
        <w:jc w:val="center"/>
      </w:pPr>
      <w:r>
        <w:drawing>
          <wp:inline distT="0" distB="0" distL="114300" distR="114300">
            <wp:extent cx="5267960" cy="2086610"/>
            <wp:effectExtent l="0" t="0" r="8890" b="8890"/>
            <wp:docPr id="2" name="图片 2" descr="幻灯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幻灯片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8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7FDA9">
      <w:pPr>
        <w:jc w:val="center"/>
      </w:pPr>
      <w:r>
        <w:rPr>
          <w:b/>
        </w:rPr>
        <w:t>Figure S2.</w:t>
      </w:r>
      <w:r>
        <w:t xml:space="preserve"> (a) </w:t>
      </w:r>
      <w:r>
        <w:rPr>
          <w:i/>
          <w:iCs/>
        </w:rPr>
        <w:t>J−V</w:t>
      </w:r>
      <w:r>
        <w:t xml:space="preserve"> characteristics and (b) EQE spectra of 4.14 mm</w:t>
      </w:r>
      <w:r>
        <w:rPr>
          <w:vertAlign w:val="superscript"/>
        </w:rPr>
        <w:t>2</w:t>
      </w:r>
      <w:r>
        <w:t>-sized PM6:L8-BO opaque OSCs, fabricated using different BHJ active layer thicknesses, prepared at varying spin-coating speeds.</w:t>
      </w:r>
    </w:p>
    <w:p w14:paraId="36EB3002">
      <w:pPr>
        <w:jc w:val="center"/>
      </w:pPr>
    </w:p>
    <w:p w14:paraId="779DA0FA">
      <w:pPr>
        <w:jc w:val="center"/>
      </w:pPr>
      <w:r>
        <w:drawing>
          <wp:inline distT="0" distB="0" distL="114300" distR="114300">
            <wp:extent cx="2879725" cy="3703955"/>
            <wp:effectExtent l="0" t="0" r="15875" b="10795"/>
            <wp:docPr id="3" name="图片 3" descr="幻灯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幻灯片7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370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5985E">
      <w:pPr>
        <w:jc w:val="center"/>
      </w:pPr>
      <w:r>
        <w:rPr>
          <w:b/>
        </w:rPr>
        <w:t>Figure S3.</w:t>
      </w:r>
      <w:r>
        <w:t xml:space="preserve"> (a) Wavelength-dependent refractive indexes and (b) extinction coefficients of the function layers used in this work.</w:t>
      </w:r>
    </w:p>
    <w:p w14:paraId="2423509A">
      <w:pPr>
        <w:jc w:val="center"/>
        <w:rPr>
          <w:rFonts w:eastAsia="等线"/>
        </w:rPr>
      </w:pPr>
    </w:p>
    <w:p w14:paraId="79D7E08F">
      <w:pPr>
        <w:jc w:val="center"/>
        <w:rPr>
          <w:rFonts w:eastAsia="等线"/>
        </w:rPr>
      </w:pPr>
    </w:p>
    <w:p w14:paraId="69CECC20">
      <w:pPr>
        <w:jc w:val="center"/>
      </w:pPr>
      <w:r>
        <w:drawing>
          <wp:inline distT="0" distB="0" distL="114300" distR="114300">
            <wp:extent cx="2879725" cy="2794000"/>
            <wp:effectExtent l="0" t="0" r="15875" b="6350"/>
            <wp:docPr id="4" name="图片 4" descr="幻灯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幻灯片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9E355">
      <w:pPr>
        <w:jc w:val="center"/>
      </w:pPr>
      <w:r>
        <w:rPr>
          <w:b/>
        </w:rPr>
        <w:t>Figure S4.</w:t>
      </w:r>
      <w:r>
        <w:t xml:space="preserve"> CIE chromaticity coordinates of the blue, green and red ST-OSCs.</w:t>
      </w:r>
    </w:p>
    <w:p w14:paraId="08130973">
      <w:pPr>
        <w:jc w:val="center"/>
      </w:pPr>
      <w:r>
        <w:drawing>
          <wp:inline distT="0" distB="0" distL="114300" distR="114300">
            <wp:extent cx="2879725" cy="2299970"/>
            <wp:effectExtent l="0" t="0" r="15875" b="5080"/>
            <wp:docPr id="5" name="图片 5" descr="幻灯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幻灯片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29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E44E3">
      <w:pPr>
        <w:jc w:val="center"/>
      </w:pPr>
      <w:r>
        <w:rPr>
          <w:b/>
        </w:rPr>
        <w:t>Figure S5.</w:t>
      </w:r>
      <w:r>
        <w:t xml:space="preserve"> Reflection spectra of the blue, green and red ST-OSCs.</w:t>
      </w:r>
    </w:p>
    <w:p w14:paraId="04859694">
      <w:pPr>
        <w:jc w:val="center"/>
        <w:rPr>
          <w:rFonts w:eastAsia="等线"/>
        </w:rPr>
      </w:pPr>
    </w:p>
    <w:p w14:paraId="13EE64A4">
      <w:pPr>
        <w:jc w:val="center"/>
        <w:rPr>
          <w:rFonts w:eastAsia="等线"/>
        </w:rPr>
      </w:pPr>
    </w:p>
    <w:p w14:paraId="3B9795E2">
      <w:pPr>
        <w:jc w:val="center"/>
      </w:pPr>
      <w:r>
        <w:drawing>
          <wp:inline distT="0" distB="0" distL="114300" distR="114300">
            <wp:extent cx="5273040" cy="1923415"/>
            <wp:effectExtent l="0" t="0" r="3810" b="635"/>
            <wp:docPr id="6" name="图片 6" descr="幻灯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幻灯片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2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DE2AE">
      <w:pPr>
        <w:jc w:val="center"/>
      </w:pPr>
      <w:r>
        <w:rPr>
          <w:b/>
        </w:rPr>
        <w:t>Figure S6.</w:t>
      </w:r>
      <w:r>
        <w:t xml:space="preserve"> (a) QUE spectra and (b) EQE+T+R spectra obtained for the blue, green, and red ST-OSCs. The transmission spectrum measured for the glass/ITO substrate is also shown for comparison.</w:t>
      </w:r>
    </w:p>
    <w:p w14:paraId="49CE1669">
      <w:pPr>
        <w:jc w:val="center"/>
        <w:rPr>
          <w:rFonts w:eastAsia="等线"/>
        </w:rPr>
      </w:pPr>
    </w:p>
    <w:p w14:paraId="023E94E3">
      <w:pPr>
        <w:jc w:val="center"/>
        <w:rPr>
          <w:rFonts w:eastAsia="等线"/>
        </w:rPr>
      </w:pPr>
    </w:p>
    <w:p w14:paraId="35E27AAB">
      <w:pPr>
        <w:jc w:val="center"/>
        <w:rPr>
          <w:rFonts w:eastAsia="等线"/>
        </w:rPr>
      </w:pPr>
    </w:p>
    <w:p w14:paraId="4C88C06C">
      <w:pPr>
        <w:jc w:val="center"/>
        <w:rPr>
          <w:rFonts w:eastAsia="等线"/>
        </w:rPr>
      </w:pPr>
    </w:p>
    <w:p w14:paraId="354AD8F6">
      <w:pPr>
        <w:jc w:val="center"/>
      </w:pPr>
      <w:r>
        <w:drawing>
          <wp:inline distT="0" distB="0" distL="114300" distR="114300">
            <wp:extent cx="5273675" cy="1558290"/>
            <wp:effectExtent l="0" t="0" r="3175" b="3810"/>
            <wp:docPr id="7" name="图片 7" descr="幻灯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幻灯片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5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21429">
      <w:pPr>
        <w:jc w:val="center"/>
      </w:pPr>
      <w:r>
        <w:rPr>
          <w:b/>
        </w:rPr>
        <w:t>Figure S7.</w:t>
      </w:r>
      <w:r>
        <w:t xml:space="preserve"> (a) </w:t>
      </w:r>
      <w:r>
        <w:rPr>
          <w:i/>
        </w:rPr>
        <w:t>J−V</w:t>
      </w:r>
      <w:r>
        <w:t xml:space="preserve"> characteristics, (b) EQE spectra and (c) photographs of the 1.0 cm</w:t>
      </w:r>
      <w:r>
        <w:rPr>
          <w:vertAlign w:val="superscript"/>
        </w:rPr>
        <w:t>2</w:t>
      </w:r>
      <w:r>
        <w:t>-sized opaque OSC, blue, green and red ST-OSCs.</w:t>
      </w:r>
    </w:p>
    <w:p w14:paraId="1A7C249D">
      <w:pPr>
        <w:jc w:val="center"/>
      </w:pPr>
    </w:p>
    <w:p w14:paraId="27956BF6">
      <w:pPr>
        <w:jc w:val="center"/>
      </w:pPr>
    </w:p>
    <w:p w14:paraId="2A5B7670">
      <w:pPr>
        <w:jc w:val="center"/>
      </w:pPr>
      <w:r>
        <w:drawing>
          <wp:inline distT="0" distB="0" distL="114300" distR="114300">
            <wp:extent cx="2879725" cy="2304415"/>
            <wp:effectExtent l="0" t="0" r="15875" b="63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B77C3">
      <w:pPr>
        <w:jc w:val="center"/>
      </w:pPr>
      <w:r>
        <w:rPr>
          <w:b/>
        </w:rPr>
        <w:t>Figure S8.</w:t>
      </w:r>
      <w:r>
        <w:t xml:space="preserve"> The stability of the control opaque OSC, blue, green, and red ST-OSCs stored in a N</w:t>
      </w:r>
      <w:r>
        <w:rPr>
          <w:vertAlign w:val="subscript"/>
        </w:rPr>
        <w:t>2</w:t>
      </w:r>
      <w:r>
        <w:t>-purged glove box.</w:t>
      </w:r>
    </w:p>
    <w:p w14:paraId="2B8E3BD9">
      <w:pPr>
        <w:jc w:val="center"/>
      </w:pPr>
    </w:p>
    <w:p w14:paraId="0A9ABCAA">
      <w:pPr>
        <w:jc w:val="center"/>
      </w:pPr>
      <w:r>
        <w:drawing>
          <wp:inline distT="0" distB="0" distL="114300" distR="114300">
            <wp:extent cx="2879725" cy="3020695"/>
            <wp:effectExtent l="0" t="0" r="15875" b="8255"/>
            <wp:docPr id="9" name="图片 9" descr="幻灯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幻灯片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302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48E83">
      <w:pPr>
        <w:jc w:val="center"/>
      </w:pPr>
      <w:r>
        <w:rPr>
          <w:b/>
        </w:rPr>
        <w:t>Figure S9.</w:t>
      </w:r>
      <w:r>
        <w:t xml:space="preserve"> Profiles of the exciton generation in the active layers of the opaque device, blue, green, and red ST-OSCs.</w:t>
      </w:r>
    </w:p>
    <w:p w14:paraId="7A1C1FBD">
      <w:pPr>
        <w:jc w:val="center"/>
      </w:pPr>
    </w:p>
    <w:p w14:paraId="23FA8215">
      <w:pPr>
        <w:jc w:val="center"/>
      </w:pPr>
    </w:p>
    <w:p w14:paraId="5C5D332C">
      <w:pPr>
        <w:jc w:val="center"/>
      </w:pPr>
      <w:r>
        <w:drawing>
          <wp:inline distT="0" distB="0" distL="114300" distR="114300">
            <wp:extent cx="5269230" cy="2085340"/>
            <wp:effectExtent l="0" t="0" r="7620" b="10160"/>
            <wp:docPr id="10" name="图片 10" descr="幻灯片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幻灯片15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8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10D20">
      <w:pPr>
        <w:jc w:val="center"/>
      </w:pPr>
      <w:r>
        <w:rPr>
          <w:b/>
        </w:rPr>
        <w:t>Figure S10.</w:t>
      </w:r>
      <w:r>
        <w:t xml:space="preserve"> (a) </w:t>
      </w:r>
      <w:r>
        <w:rPr>
          <w:i/>
        </w:rPr>
        <w:t>J−V</w:t>
      </w:r>
      <w:r>
        <w:t xml:space="preserve"> characteristics and (b) EQE spectra measured for the 1.0 cm</w:t>
      </w:r>
      <w:r>
        <w:rPr>
          <w:vertAlign w:val="superscript"/>
        </w:rPr>
        <w:t>2</w:t>
      </w:r>
      <w:r>
        <w:t>-sized navy, sky blue, azure, yellow, vermilion, and brown ST-OSCs.</w:t>
      </w:r>
    </w:p>
    <w:p w14:paraId="37E18547">
      <w:pPr>
        <w:jc w:val="center"/>
      </w:pPr>
      <w:r>
        <w:drawing>
          <wp:inline distT="0" distB="0" distL="114300" distR="114300">
            <wp:extent cx="2679700" cy="2139950"/>
            <wp:effectExtent l="0" t="0" r="6350" b="0"/>
            <wp:docPr id="11" name="图片 11" descr="幻灯片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幻灯片1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82827" cy="2142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2C9FC">
      <w:pPr>
        <w:jc w:val="center"/>
      </w:pPr>
      <w:r>
        <w:rPr>
          <w:b/>
        </w:rPr>
        <w:t>Figure S11.</w:t>
      </w:r>
      <w:r>
        <w:t xml:space="preserve"> Reflection spectra measured for the navy, sky blue, azure, yellow, vermilion, and brown ST-OSCs.</w:t>
      </w:r>
    </w:p>
    <w:p w14:paraId="08CBB68C">
      <w:pPr>
        <w:jc w:val="center"/>
      </w:pPr>
    </w:p>
    <w:p w14:paraId="0A26BEDA">
      <w:pPr>
        <w:jc w:val="center"/>
      </w:pPr>
    </w:p>
    <w:p w14:paraId="0B746832">
      <w:pPr>
        <w:jc w:val="center"/>
      </w:pPr>
      <w:r>
        <w:drawing>
          <wp:inline distT="0" distB="0" distL="114300" distR="114300">
            <wp:extent cx="5273040" cy="1972310"/>
            <wp:effectExtent l="0" t="0" r="3810" b="8890"/>
            <wp:docPr id="12" name="图片 12" descr="幻灯片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幻灯片1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E0615">
      <w:pPr>
        <w:jc w:val="center"/>
      </w:pPr>
      <w:r>
        <w:rPr>
          <w:b/>
        </w:rPr>
        <w:t>Figure S12.</w:t>
      </w:r>
      <w:r>
        <w:t xml:space="preserve"> (a) QUE spectra and (b) EQE+T+R spectra obtained for the navy, sky blue, azure, yellow, vermilion, and brown ST-OSCs.</w:t>
      </w:r>
    </w:p>
    <w:p w14:paraId="79CC04C7">
      <w:pPr>
        <w:rPr>
          <w:rFonts w:eastAsia="等线"/>
        </w:rPr>
      </w:pPr>
    </w:p>
    <w:p w14:paraId="22E04C7E">
      <w:pPr>
        <w:rPr>
          <w:rFonts w:eastAsia="等线"/>
        </w:rPr>
      </w:pPr>
    </w:p>
    <w:p w14:paraId="11E33D8A">
      <w:r>
        <w:drawing>
          <wp:inline distT="0" distB="0" distL="114300" distR="114300">
            <wp:extent cx="5721350" cy="2400300"/>
            <wp:effectExtent l="0" t="0" r="12700" b="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CA0B6">
      <w:pPr>
        <w:jc w:val="center"/>
        <w:rPr>
          <w:highlight w:val="yellow"/>
        </w:rPr>
      </w:pPr>
      <w:r>
        <w:rPr>
          <w:b/>
        </w:rPr>
        <w:t>Figure S1</w:t>
      </w:r>
      <w:r>
        <w:rPr>
          <w:rFonts w:hint="eastAsia"/>
          <w:b/>
        </w:rPr>
        <w:t>3</w:t>
      </w:r>
      <w:r>
        <w:rPr>
          <w:b/>
        </w:rPr>
        <w:t>.</w:t>
      </w:r>
      <w:r>
        <w:t xml:space="preserve"> </w:t>
      </w:r>
      <w:r>
        <w:rPr>
          <w:rFonts w:hint="eastAsia"/>
        </w:rPr>
        <w:t xml:space="preserve">Illustration of the </w:t>
      </w:r>
      <w:r>
        <w:rPr>
          <w:rFonts w:hint="eastAsia" w:eastAsia="宋体"/>
        </w:rPr>
        <w:t>slot-die coating process.</w:t>
      </w:r>
    </w:p>
    <w:p w14:paraId="406E4E31">
      <w:pPr>
        <w:rPr>
          <w:highlight w:val="yellow"/>
        </w:rPr>
      </w:pPr>
    </w:p>
    <w:p w14:paraId="62BA931A"/>
    <w:p w14:paraId="2AAA3C77">
      <w:pPr>
        <w:rPr>
          <w:rFonts w:eastAsia="等线"/>
        </w:rPr>
      </w:pPr>
      <w:r>
        <w:drawing>
          <wp:inline distT="0" distB="0" distL="114300" distR="114300">
            <wp:extent cx="5718810" cy="2745740"/>
            <wp:effectExtent l="0" t="0" r="15240" b="1651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18810" cy="274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E69E9">
      <w:pPr>
        <w:jc w:val="center"/>
        <w:rPr>
          <w:rFonts w:eastAsia="等线"/>
        </w:rPr>
      </w:pPr>
      <w:r>
        <w:rPr>
          <w:b/>
        </w:rPr>
        <w:t>Figure S1</w:t>
      </w:r>
      <w:r>
        <w:rPr>
          <w:rFonts w:hint="eastAsia"/>
          <w:b/>
        </w:rPr>
        <w:t>4</w:t>
      </w:r>
      <w:r>
        <w:rPr>
          <w:b/>
        </w:rPr>
        <w:t>.</w:t>
      </w:r>
      <w:r>
        <w:t xml:space="preserve"> </w:t>
      </w:r>
      <w:r>
        <w:rPr>
          <w:rFonts w:hint="eastAsia"/>
        </w:rPr>
        <w:t xml:space="preserve">Schematic diagram </w:t>
      </w:r>
      <w:r>
        <w:t>illustrating the</w:t>
      </w:r>
      <w:r>
        <w:rPr>
          <w:rFonts w:hint="eastAsia"/>
        </w:rPr>
        <w:t xml:space="preserve"> multi-step</w:t>
      </w:r>
      <w:r>
        <w:rPr>
          <w:rFonts w:hint="eastAsia" w:eastAsia="宋体"/>
        </w:rPr>
        <w:t xml:space="preserve"> selective-area</w:t>
      </w:r>
      <w:r>
        <w:rPr>
          <w:rFonts w:hint="eastAsia"/>
        </w:rPr>
        <w:t xml:space="preserve"> evaporation process </w:t>
      </w:r>
      <w:r>
        <w:t>for fabricating a 100 cm</w:t>
      </w:r>
      <w:r>
        <w:rPr>
          <w:vertAlign w:val="superscript"/>
        </w:rPr>
        <w:t>2</w:t>
      </w:r>
      <w:r>
        <w:t>-sized</w:t>
      </w:r>
      <w:r>
        <w:rPr>
          <w:rFonts w:hint="eastAsia"/>
        </w:rPr>
        <w:t xml:space="preserve"> </w:t>
      </w:r>
      <w:r>
        <w:t>color ST-OSC module having different microcavity optical coupling layers.</w:t>
      </w:r>
    </w:p>
    <w:p w14:paraId="14F34039">
      <w:pPr>
        <w:rPr>
          <w:rFonts w:eastAsia="等线"/>
        </w:rPr>
      </w:pPr>
    </w:p>
    <w:p w14:paraId="4BC82800">
      <w:pPr>
        <w:jc w:val="center"/>
        <w:rPr>
          <w:rFonts w:eastAsia="等线"/>
          <w:highlight w:val="yellow"/>
        </w:rPr>
      </w:pPr>
      <w:r>
        <w:drawing>
          <wp:inline distT="0" distB="0" distL="0" distR="0">
            <wp:extent cx="4681220" cy="2340610"/>
            <wp:effectExtent l="0" t="0" r="5080" b="2540"/>
            <wp:docPr id="10419347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934743" name="图片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1220" cy="234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12CDB">
      <w:pPr>
        <w:jc w:val="center"/>
        <w:rPr>
          <w:rFonts w:eastAsia="等线"/>
          <w:highlight w:val="yellow"/>
        </w:rPr>
      </w:pPr>
      <w:r>
        <w:rPr>
          <w:rFonts w:hint="eastAsia" w:eastAsia="等线"/>
          <w:b/>
          <w:bCs w:val="0"/>
        </w:rPr>
        <w:t>Figure S15.</w:t>
      </w:r>
      <w:r>
        <w:rPr>
          <w:rFonts w:hint="eastAsia" w:eastAsia="等线"/>
        </w:rPr>
        <w:t xml:space="preserve"> </w:t>
      </w:r>
      <w:r>
        <w:t>An enabling translucent color BIPV technology: From power generating windowpanes to aesthetic art.</w:t>
      </w:r>
    </w:p>
    <w:p w14:paraId="7291F0D3">
      <w:pPr>
        <w:rPr>
          <w:rFonts w:eastAsia="等线"/>
        </w:rPr>
      </w:pPr>
      <w:r>
        <w:rPr>
          <w:rFonts w:eastAsia="等线"/>
        </w:rPr>
        <w:br w:type="page"/>
      </w:r>
    </w:p>
    <w:p w14:paraId="63D0BF0B">
      <w:r>
        <w:rPr>
          <w:b/>
        </w:rPr>
        <w:t>Table S1.</w:t>
      </w:r>
      <w:r>
        <w:t xml:space="preserve"> Summary of photovoltaic parameters measured for the 4.14 mm</w:t>
      </w:r>
      <w:r>
        <w:rPr>
          <w:vertAlign w:val="superscript"/>
        </w:rPr>
        <w:t>2</w:t>
      </w:r>
      <w:r>
        <w:t>-sized PM6:L8-BO opaque devices, fabricated with BHJ active layer, which was prepared at varying spin-coating speeds. The results were averaged from the measurements of 15 cells.</w:t>
      </w:r>
    </w:p>
    <w:tbl>
      <w:tblPr>
        <w:tblStyle w:val="20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606"/>
        <w:gridCol w:w="1469"/>
        <w:gridCol w:w="1369"/>
        <w:gridCol w:w="1469"/>
        <w:gridCol w:w="1469"/>
      </w:tblGrid>
      <w:tr w14:paraId="5837D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0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A3DF484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Rotation speed</w:t>
            </w:r>
          </w:p>
        </w:tc>
        <w:tc>
          <w:tcPr>
            <w:tcW w:w="86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9E17681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  <w:i/>
                <w:iCs/>
              </w:rPr>
              <w:t>V</w:t>
            </w:r>
            <w:r>
              <w:rPr>
                <w:rFonts w:eastAsia="宋体"/>
                <w:vertAlign w:val="subscript"/>
              </w:rPr>
              <w:t>OC</w:t>
            </w:r>
            <w:r>
              <w:rPr>
                <w:rFonts w:eastAsia="宋体"/>
              </w:rPr>
              <w:t> </w:t>
            </w:r>
          </w:p>
          <w:p w14:paraId="75774317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(V)</w:t>
            </w:r>
          </w:p>
        </w:tc>
        <w:tc>
          <w:tcPr>
            <w:tcW w:w="7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552DD52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  <w:i/>
                <w:iCs/>
              </w:rPr>
              <w:t>J</w:t>
            </w:r>
            <w:r>
              <w:rPr>
                <w:rFonts w:eastAsia="宋体"/>
                <w:vertAlign w:val="subscript"/>
              </w:rPr>
              <w:t>SC</w:t>
            </w:r>
            <w:r>
              <w:rPr>
                <w:rFonts w:eastAsia="宋体"/>
              </w:rPr>
              <w:t> </w:t>
            </w:r>
          </w:p>
          <w:p w14:paraId="2525247E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(mA/cm</w:t>
            </w:r>
            <w:r>
              <w:rPr>
                <w:rFonts w:eastAsia="宋体"/>
                <w:vertAlign w:val="superscript"/>
              </w:rPr>
              <w:t>2</w:t>
            </w:r>
            <w:r>
              <w:rPr>
                <w:rFonts w:eastAsia="宋体"/>
              </w:rPr>
              <w:t>)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05D2405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  <w:i/>
                <w:iCs/>
              </w:rPr>
              <w:t>J</w:t>
            </w:r>
            <w:r>
              <w:rPr>
                <w:rFonts w:eastAsia="宋体"/>
                <w:vertAlign w:val="subscript"/>
              </w:rPr>
              <w:t>cal</w:t>
            </w:r>
            <w:r>
              <w:rPr>
                <w:rFonts w:eastAsia="宋体"/>
              </w:rPr>
              <w:t> </w:t>
            </w:r>
          </w:p>
          <w:p w14:paraId="1C7E1378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(mA/cm</w:t>
            </w:r>
            <w:r>
              <w:rPr>
                <w:rFonts w:eastAsia="宋体"/>
                <w:vertAlign w:val="superscript"/>
              </w:rPr>
              <w:t>2</w:t>
            </w:r>
            <w:r>
              <w:rPr>
                <w:rFonts w:eastAsia="宋体"/>
              </w:rPr>
              <w:t>)</w:t>
            </w:r>
          </w:p>
        </w:tc>
        <w:tc>
          <w:tcPr>
            <w:tcW w:w="7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DCC68D5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FF</w:t>
            </w:r>
          </w:p>
          <w:p w14:paraId="25B12581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 (%)</w:t>
            </w:r>
          </w:p>
        </w:tc>
        <w:tc>
          <w:tcPr>
            <w:tcW w:w="7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3C5C712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PCE </w:t>
            </w:r>
          </w:p>
          <w:p w14:paraId="3322C6F8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</w:tr>
      <w:tr w14:paraId="7A796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0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0FF20E5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2500</w:t>
            </w:r>
          </w:p>
        </w:tc>
        <w:tc>
          <w:tcPr>
            <w:tcW w:w="86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69DF24C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0.86±0.01</w:t>
            </w:r>
          </w:p>
        </w:tc>
        <w:tc>
          <w:tcPr>
            <w:tcW w:w="79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464FFE2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26.49±0.15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1B97CBB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26.05</w:t>
            </w:r>
          </w:p>
        </w:tc>
        <w:tc>
          <w:tcPr>
            <w:tcW w:w="79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3F3070C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78.05±0.37</w:t>
            </w:r>
          </w:p>
        </w:tc>
        <w:tc>
          <w:tcPr>
            <w:tcW w:w="79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D622D87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17.83±0.16</w:t>
            </w:r>
          </w:p>
        </w:tc>
      </w:tr>
      <w:tr w14:paraId="03B43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29047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3000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5AFAA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0.86±0.01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0C542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26.42±0.13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C26CE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25.90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97EAA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78.74±0.23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CF15D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17.97±0.14</w:t>
            </w:r>
          </w:p>
        </w:tc>
      </w:tr>
      <w:tr w14:paraId="10D3E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67BB8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3500</w:t>
            </w:r>
          </w:p>
        </w:tc>
        <w:tc>
          <w:tcPr>
            <w:tcW w:w="8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506B4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0.87±0.01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EFE75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26.39±0.24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4AAE4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25.80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CC53F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78.95±0.56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7C23F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18.03±0.19</w:t>
            </w:r>
          </w:p>
        </w:tc>
      </w:tr>
      <w:tr w14:paraId="37733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0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D19C13D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4000</w:t>
            </w:r>
          </w:p>
        </w:tc>
        <w:tc>
          <w:tcPr>
            <w:tcW w:w="86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0171108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0.86±0.01</w:t>
            </w:r>
          </w:p>
        </w:tc>
        <w:tc>
          <w:tcPr>
            <w:tcW w:w="79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FF551E0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26.00±0.27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152BC6B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25.65</w:t>
            </w:r>
          </w:p>
        </w:tc>
        <w:tc>
          <w:tcPr>
            <w:tcW w:w="79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1317A1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79.01±0.43</w:t>
            </w:r>
          </w:p>
        </w:tc>
        <w:tc>
          <w:tcPr>
            <w:tcW w:w="79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D7E759F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17.74±0.23</w:t>
            </w:r>
          </w:p>
        </w:tc>
      </w:tr>
    </w:tbl>
    <w:p w14:paraId="59429671">
      <w:pPr>
        <w:rPr>
          <w:b/>
        </w:rPr>
      </w:pPr>
    </w:p>
    <w:p w14:paraId="6A92616A">
      <w:pPr>
        <w:rPr>
          <w:b/>
        </w:rPr>
      </w:pPr>
    </w:p>
    <w:p w14:paraId="567EF72F">
      <w:r>
        <w:rPr>
          <w:b/>
        </w:rPr>
        <w:t>Table S2.</w:t>
      </w:r>
      <w:r>
        <w:t xml:space="preserve"> Summary of photovoltaic parameters measured for the large-area opaque device, opaque device, blue, green and red ST-OSCs. The results were averaged from the measurements of 15 cells, with an effective area of 1 cm</w:t>
      </w:r>
      <w:r>
        <w:rPr>
          <w:vertAlign w:val="superscript"/>
        </w:rPr>
        <w:t>2</w:t>
      </w:r>
      <w:r>
        <w:t>.</w:t>
      </w:r>
    </w:p>
    <w:tbl>
      <w:tblPr>
        <w:tblStyle w:val="20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1751"/>
        <w:gridCol w:w="1605"/>
        <w:gridCol w:w="1494"/>
        <w:gridCol w:w="1605"/>
        <w:gridCol w:w="1605"/>
      </w:tblGrid>
      <w:tr w14:paraId="50DCC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FDDA5D5">
            <w:pPr>
              <w:pStyle w:val="16"/>
              <w:spacing w:line="240" w:lineRule="auto"/>
              <w:rPr>
                <w:rFonts w:eastAsia="宋体"/>
              </w:rPr>
            </w:pPr>
          </w:p>
        </w:tc>
        <w:tc>
          <w:tcPr>
            <w:tcW w:w="94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52FBB76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  <w:i/>
                <w:iCs/>
              </w:rPr>
              <w:t>V</w:t>
            </w:r>
            <w:r>
              <w:rPr>
                <w:rFonts w:eastAsia="宋体"/>
                <w:vertAlign w:val="subscript"/>
              </w:rPr>
              <w:t>OC</w:t>
            </w:r>
            <w:r>
              <w:rPr>
                <w:rFonts w:eastAsia="宋体"/>
              </w:rPr>
              <w:t> </w:t>
            </w:r>
          </w:p>
          <w:p w14:paraId="23378AF7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(V)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4DAEB31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  <w:i/>
                <w:iCs/>
              </w:rPr>
              <w:t>J</w:t>
            </w:r>
            <w:r>
              <w:rPr>
                <w:rFonts w:eastAsia="宋体"/>
                <w:vertAlign w:val="subscript"/>
              </w:rPr>
              <w:t>SC</w:t>
            </w:r>
            <w:r>
              <w:rPr>
                <w:rFonts w:eastAsia="宋体"/>
              </w:rPr>
              <w:t> </w:t>
            </w:r>
          </w:p>
          <w:p w14:paraId="7D7D78E2">
            <w:pPr>
              <w:pStyle w:val="16"/>
              <w:spacing w:before="100" w:afterAutospacing="0" w:line="240" w:lineRule="auto"/>
              <w:rPr>
                <w:rFonts w:eastAsia="宋体"/>
              </w:rPr>
            </w:pPr>
            <w:r>
              <w:rPr>
                <w:rFonts w:eastAsia="宋体"/>
              </w:rPr>
              <w:t>(mA/cm</w:t>
            </w:r>
            <w:r>
              <w:rPr>
                <w:rFonts w:eastAsia="宋体"/>
                <w:vertAlign w:val="superscript"/>
              </w:rPr>
              <w:t>2</w:t>
            </w:r>
            <w:r>
              <w:rPr>
                <w:rFonts w:eastAsia="宋体"/>
              </w:rPr>
              <w:t>)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1937E3F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  <w:i/>
                <w:iCs/>
              </w:rPr>
              <w:t>J</w:t>
            </w:r>
            <w:r>
              <w:rPr>
                <w:rFonts w:eastAsia="宋体"/>
                <w:vertAlign w:val="subscript"/>
              </w:rPr>
              <w:t>cal</w:t>
            </w:r>
            <w:r>
              <w:rPr>
                <w:rFonts w:eastAsia="宋体"/>
              </w:rPr>
              <w:t> </w:t>
            </w:r>
          </w:p>
          <w:p w14:paraId="225F1260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(mA/cm</w:t>
            </w:r>
            <w:r>
              <w:rPr>
                <w:rFonts w:eastAsia="宋体"/>
                <w:vertAlign w:val="superscript"/>
              </w:rPr>
              <w:t>2</w:t>
            </w:r>
            <w:r>
              <w:rPr>
                <w:rFonts w:eastAsia="宋体"/>
              </w:rPr>
              <w:t>)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50BE66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FF </w:t>
            </w:r>
          </w:p>
          <w:p w14:paraId="18A51A83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0F6C3B2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PCE </w:t>
            </w:r>
          </w:p>
          <w:p w14:paraId="65BE4EAA">
            <w:pPr>
              <w:pStyle w:val="16"/>
              <w:spacing w:line="240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</w:tr>
      <w:tr w14:paraId="52A7A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11D4DCF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Opaque</w:t>
            </w:r>
          </w:p>
        </w:tc>
        <w:tc>
          <w:tcPr>
            <w:tcW w:w="947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C3ECEF9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0.86±0.01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096F8F4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25.74±0.14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AD981F5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25.44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55B5B42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66.90±0.48</w:t>
            </w:r>
          </w:p>
        </w:tc>
        <w:tc>
          <w:tcPr>
            <w:tcW w:w="86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CC8E937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14.87±0.20</w:t>
            </w:r>
          </w:p>
        </w:tc>
      </w:tr>
      <w:tr w14:paraId="507A3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72E47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Blue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71451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0.86±0.01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31596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23.50±0.22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FCAC5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23.22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2D903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66.76±0.38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BFBDE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13.52±0.10</w:t>
            </w:r>
          </w:p>
        </w:tc>
      </w:tr>
      <w:tr w14:paraId="4FAFB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FC648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Green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6AE3E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0.86±0.01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7648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23.25±0.16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961DF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23.02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C6A2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65.48±0.57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202B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13.06±0.14</w:t>
            </w:r>
          </w:p>
        </w:tc>
      </w:tr>
      <w:tr w14:paraId="5410C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3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40914C9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Red</w:t>
            </w:r>
          </w:p>
        </w:tc>
        <w:tc>
          <w:tcPr>
            <w:tcW w:w="947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B6F2F13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0.86±0.01</w:t>
            </w:r>
          </w:p>
        </w:tc>
        <w:tc>
          <w:tcPr>
            <w:tcW w:w="86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36DAD64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22.92±0.10</w:t>
            </w:r>
          </w:p>
        </w:tc>
        <w:tc>
          <w:tcPr>
            <w:tcW w:w="80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1A1A5B9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22.42</w:t>
            </w:r>
          </w:p>
        </w:tc>
        <w:tc>
          <w:tcPr>
            <w:tcW w:w="86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15FA697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65.74±0.50</w:t>
            </w:r>
          </w:p>
        </w:tc>
        <w:tc>
          <w:tcPr>
            <w:tcW w:w="86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D86B66A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12.95±0.13</w:t>
            </w:r>
          </w:p>
        </w:tc>
      </w:tr>
    </w:tbl>
    <w:p w14:paraId="22849D50"/>
    <w:p w14:paraId="5493C59A"/>
    <w:p w14:paraId="44107FFC">
      <w:pPr>
        <w:rPr>
          <w:rFonts w:eastAsia="等线"/>
          <w:b/>
        </w:rPr>
      </w:pPr>
    </w:p>
    <w:p w14:paraId="001CE24E">
      <w:pPr>
        <w:rPr>
          <w:b/>
        </w:rPr>
      </w:pPr>
    </w:p>
    <w:p w14:paraId="1B15F129">
      <w:pPr>
        <w:rPr>
          <w:rFonts w:eastAsia="等线"/>
          <w:b/>
        </w:rPr>
      </w:pPr>
    </w:p>
    <w:p w14:paraId="5D24DBB4">
      <w:pPr>
        <w:rPr>
          <w:rFonts w:eastAsia="等线"/>
          <w:b/>
        </w:rPr>
      </w:pPr>
    </w:p>
    <w:p w14:paraId="480AB49F">
      <w:r>
        <w:rPr>
          <w:b/>
        </w:rPr>
        <w:t>Table S3</w:t>
      </w:r>
      <w:r>
        <w:t>. Summary of microcavity configuration optimized for making navy, sky blue, azure, yellow, vermilion, and brown ST-OSCs.</w:t>
      </w:r>
    </w:p>
    <w:tbl>
      <w:tblPr>
        <w:tblStyle w:val="20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7085"/>
      </w:tblGrid>
      <w:tr w14:paraId="547C2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6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DC01BF0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Color</w:t>
            </w:r>
          </w:p>
        </w:tc>
        <w:tc>
          <w:tcPr>
            <w:tcW w:w="383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DFCC0C6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Configuration of microcavity optical coupling layers</w:t>
            </w:r>
          </w:p>
        </w:tc>
      </w:tr>
      <w:tr w14:paraId="4CE56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67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9BF1F97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Navy</w:t>
            </w:r>
          </w:p>
        </w:tc>
        <w:tc>
          <w:tcPr>
            <w:tcW w:w="3832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42BBC58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Ag(35 nm)/ZnS(40 nm)/Ag(35 nm)</w:t>
            </w:r>
          </w:p>
        </w:tc>
      </w:tr>
      <w:tr w14:paraId="594DA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3759A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Skyblue</w:t>
            </w:r>
          </w:p>
        </w:tc>
        <w:tc>
          <w:tcPr>
            <w:tcW w:w="38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35C6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Ag(20 nm)/ZnS(38 nm)/Ag(15 nm)</w:t>
            </w:r>
          </w:p>
        </w:tc>
      </w:tr>
      <w:tr w14:paraId="74F68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4967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Azur</w:t>
            </w:r>
          </w:p>
        </w:tc>
        <w:tc>
          <w:tcPr>
            <w:tcW w:w="38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DABD9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Ag(12 nm)/ZnS(35 nm)/Ag(10 nm)</w:t>
            </w:r>
          </w:p>
        </w:tc>
      </w:tr>
      <w:tr w14:paraId="25BAA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51903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Yellow</w:t>
            </w:r>
          </w:p>
        </w:tc>
        <w:tc>
          <w:tcPr>
            <w:tcW w:w="38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D441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Ag(30 nm)/LaF</w:t>
            </w:r>
            <w:r>
              <w:rPr>
                <w:rFonts w:eastAsia="宋体"/>
                <w:vertAlign w:val="subscript"/>
              </w:rPr>
              <w:t>3</w:t>
            </w:r>
            <w:r>
              <w:rPr>
                <w:rFonts w:eastAsia="宋体"/>
              </w:rPr>
              <w:t>(130 nm)/Ag(30 nm)</w:t>
            </w:r>
          </w:p>
        </w:tc>
      </w:tr>
      <w:tr w14:paraId="09192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C8643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Vermilion</w:t>
            </w:r>
          </w:p>
        </w:tc>
        <w:tc>
          <w:tcPr>
            <w:tcW w:w="383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7648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Ag(35 nm)/MoO</w:t>
            </w:r>
            <w:r>
              <w:rPr>
                <w:rFonts w:eastAsia="宋体"/>
                <w:vertAlign w:val="subscript"/>
              </w:rPr>
              <w:t>3</w:t>
            </w:r>
            <w:r>
              <w:rPr>
                <w:rFonts w:eastAsia="宋体"/>
              </w:rPr>
              <w:t>(104 nm)/Ag(30 nm)</w:t>
            </w:r>
          </w:p>
        </w:tc>
      </w:tr>
      <w:tr w14:paraId="36A2D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67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6326194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Brown</w:t>
            </w:r>
          </w:p>
        </w:tc>
        <w:tc>
          <w:tcPr>
            <w:tcW w:w="3832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5D63B03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Ag(60 nm)/MoO</w:t>
            </w:r>
            <w:r>
              <w:rPr>
                <w:rFonts w:eastAsia="宋体"/>
                <w:vertAlign w:val="subscript"/>
              </w:rPr>
              <w:t>3</w:t>
            </w:r>
            <w:r>
              <w:rPr>
                <w:rFonts w:eastAsia="宋体"/>
              </w:rPr>
              <w:t>(106 nm)/Ag(60 nm)</w:t>
            </w:r>
          </w:p>
        </w:tc>
      </w:tr>
    </w:tbl>
    <w:p w14:paraId="1F26E7B8">
      <w:pPr>
        <w:widowControl/>
        <w:spacing w:after="160" w:afterLines="0" w:line="259" w:lineRule="auto"/>
        <w:jc w:val="left"/>
        <w:rPr>
          <w:b/>
        </w:rPr>
      </w:pPr>
    </w:p>
    <w:p w14:paraId="3294506A">
      <w:pPr>
        <w:widowControl/>
        <w:spacing w:after="160" w:afterLines="0" w:line="259" w:lineRule="auto"/>
        <w:jc w:val="left"/>
        <w:rPr>
          <w:b/>
        </w:rPr>
      </w:pPr>
    </w:p>
    <w:p w14:paraId="7EDDD2CA">
      <w:pPr>
        <w:widowControl/>
        <w:spacing w:after="160" w:afterLines="0" w:line="259" w:lineRule="auto"/>
        <w:jc w:val="left"/>
        <w:rPr>
          <w:b/>
        </w:rPr>
      </w:pPr>
    </w:p>
    <w:p w14:paraId="1EEC78E2">
      <w:r>
        <w:rPr>
          <w:b/>
        </w:rPr>
        <w:t>Table S4.</w:t>
      </w:r>
      <w:r>
        <w:t xml:space="preserve"> Summary of photovoltaic parameters measured for the 1.0 cm</w:t>
      </w:r>
      <w:r>
        <w:rPr>
          <w:vertAlign w:val="superscript"/>
        </w:rPr>
        <w:t>2</w:t>
      </w:r>
      <w:r>
        <w:t>-sized navy, sky blue, azure, yellow, vermilion, and brown ST-OSCs. The results were averaged from the measurements of 15 cells.</w:t>
      </w:r>
    </w:p>
    <w:tbl>
      <w:tblPr>
        <w:tblStyle w:val="20"/>
        <w:tblW w:w="54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428"/>
        <w:gridCol w:w="1308"/>
        <w:gridCol w:w="1094"/>
        <w:gridCol w:w="1308"/>
        <w:gridCol w:w="1308"/>
        <w:gridCol w:w="756"/>
        <w:gridCol w:w="699"/>
        <w:gridCol w:w="1816"/>
      </w:tblGrid>
      <w:tr w14:paraId="7A280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0E64659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Device</w:t>
            </w:r>
          </w:p>
        </w:tc>
        <w:tc>
          <w:tcPr>
            <w:tcW w:w="59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D25B2C7">
            <w:pPr>
              <w:pStyle w:val="16"/>
              <w:spacing w:line="240" w:lineRule="auto"/>
              <w:rPr>
                <w:rFonts w:eastAsia="宋体"/>
                <w:sz w:val="22"/>
                <w:szCs w:val="22"/>
                <w:vertAlign w:val="subscript"/>
              </w:rPr>
            </w:pPr>
            <w:r>
              <w:rPr>
                <w:rFonts w:eastAsia="宋体"/>
                <w:i/>
                <w:iCs/>
                <w:sz w:val="22"/>
                <w:szCs w:val="22"/>
              </w:rPr>
              <w:t>V</w:t>
            </w:r>
            <w:r>
              <w:rPr>
                <w:rFonts w:eastAsia="宋体"/>
                <w:sz w:val="22"/>
                <w:szCs w:val="22"/>
                <w:vertAlign w:val="subscript"/>
              </w:rPr>
              <w:t>OC</w:t>
            </w:r>
          </w:p>
          <w:p w14:paraId="3A484C3E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 (V)</w:t>
            </w:r>
          </w:p>
        </w:tc>
        <w:tc>
          <w:tcPr>
            <w:tcW w:w="5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2A1B919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i/>
                <w:iCs/>
                <w:sz w:val="22"/>
                <w:szCs w:val="22"/>
              </w:rPr>
              <w:t>J</w:t>
            </w:r>
            <w:r>
              <w:rPr>
                <w:rFonts w:eastAsia="宋体"/>
                <w:sz w:val="22"/>
                <w:szCs w:val="22"/>
                <w:vertAlign w:val="subscript"/>
              </w:rPr>
              <w:t>SC</w:t>
            </w:r>
            <w:r>
              <w:rPr>
                <w:rFonts w:eastAsia="宋体"/>
                <w:sz w:val="22"/>
                <w:szCs w:val="22"/>
              </w:rPr>
              <w:t> </w:t>
            </w:r>
          </w:p>
          <w:p w14:paraId="1146AE01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(mA/cm</w:t>
            </w:r>
            <w:r>
              <w:rPr>
                <w:rFonts w:eastAsia="宋体"/>
                <w:sz w:val="22"/>
                <w:szCs w:val="22"/>
                <w:vertAlign w:val="superscript"/>
              </w:rPr>
              <w:t>2</w:t>
            </w:r>
            <w:r>
              <w:rPr>
                <w:rFonts w:eastAsia="宋体"/>
                <w:sz w:val="22"/>
                <w:szCs w:val="22"/>
              </w:rPr>
              <w:t>)</w:t>
            </w:r>
          </w:p>
        </w:tc>
        <w:tc>
          <w:tcPr>
            <w:tcW w:w="51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F8E1F80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i/>
                <w:iCs/>
                <w:sz w:val="22"/>
                <w:szCs w:val="22"/>
              </w:rPr>
              <w:t>J</w:t>
            </w:r>
            <w:r>
              <w:rPr>
                <w:rFonts w:eastAsia="宋体"/>
                <w:sz w:val="22"/>
                <w:szCs w:val="22"/>
                <w:vertAlign w:val="subscript"/>
              </w:rPr>
              <w:t>cal</w:t>
            </w:r>
            <w:r>
              <w:rPr>
                <w:rFonts w:eastAsia="宋体"/>
                <w:sz w:val="22"/>
                <w:szCs w:val="22"/>
              </w:rPr>
              <w:t> </w:t>
            </w:r>
          </w:p>
          <w:p w14:paraId="6A5B58C0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(mA/cm</w:t>
            </w:r>
            <w:r>
              <w:rPr>
                <w:rFonts w:eastAsia="宋体"/>
                <w:sz w:val="22"/>
                <w:szCs w:val="22"/>
                <w:vertAlign w:val="superscript"/>
              </w:rPr>
              <w:t>2</w:t>
            </w:r>
            <w:r>
              <w:rPr>
                <w:rFonts w:eastAsia="宋体"/>
                <w:sz w:val="22"/>
                <w:szCs w:val="22"/>
              </w:rPr>
              <w:t>)</w:t>
            </w:r>
          </w:p>
        </w:tc>
        <w:tc>
          <w:tcPr>
            <w:tcW w:w="5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D68A321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FF </w:t>
            </w:r>
          </w:p>
          <w:p w14:paraId="4246F99C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(%)</w:t>
            </w:r>
          </w:p>
        </w:tc>
        <w:tc>
          <w:tcPr>
            <w:tcW w:w="5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7E2C098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PCE </w:t>
            </w:r>
          </w:p>
          <w:p w14:paraId="110368C7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(%)</w:t>
            </w:r>
          </w:p>
        </w:tc>
        <w:tc>
          <w:tcPr>
            <w:tcW w:w="42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AD760CD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T</w:t>
            </w:r>
            <w:r>
              <w:rPr>
                <w:rFonts w:eastAsia="宋体"/>
                <w:sz w:val="22"/>
                <w:szCs w:val="22"/>
                <w:vertAlign w:val="subscript"/>
              </w:rPr>
              <w:t>MAX</w:t>
            </w:r>
            <w:r>
              <w:rPr>
                <w:rFonts w:eastAsia="宋体"/>
                <w:sz w:val="22"/>
                <w:szCs w:val="22"/>
              </w:rPr>
              <w:t> </w:t>
            </w:r>
          </w:p>
          <w:p w14:paraId="43A96F64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(%)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6231DC7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Peak </w:t>
            </w:r>
          </w:p>
          <w:p w14:paraId="1C3A3BF4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(nm)</w:t>
            </w:r>
          </w:p>
        </w:tc>
        <w:tc>
          <w:tcPr>
            <w:tcW w:w="99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11ABF42">
            <w:pPr>
              <w:pStyle w:val="16"/>
              <w:spacing w:line="240" w:lineRule="auto"/>
              <w:rPr>
                <w:rFonts w:eastAsia="宋体"/>
                <w:sz w:val="22"/>
                <w:szCs w:val="22"/>
              </w:rPr>
            </w:pPr>
            <w:r>
              <w:rPr>
                <w:rFonts w:eastAsia="宋体"/>
                <w:sz w:val="22"/>
                <w:szCs w:val="22"/>
              </w:rPr>
              <w:t>Color coordinates</w:t>
            </w:r>
          </w:p>
        </w:tc>
      </w:tr>
      <w:tr w14:paraId="4D71A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6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BF957B7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Navy</w:t>
            </w:r>
          </w:p>
        </w:tc>
        <w:tc>
          <w:tcPr>
            <w:tcW w:w="596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7A6F7A6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0.859±0.001</w:t>
            </w:r>
          </w:p>
        </w:tc>
        <w:tc>
          <w:tcPr>
            <w:tcW w:w="54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B7771FF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24.54±0.21</w:t>
            </w:r>
          </w:p>
        </w:tc>
        <w:tc>
          <w:tcPr>
            <w:tcW w:w="51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05D238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24.42</w:t>
            </w:r>
          </w:p>
        </w:tc>
        <w:tc>
          <w:tcPr>
            <w:tcW w:w="54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0297884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66.01±0.22</w:t>
            </w:r>
          </w:p>
        </w:tc>
        <w:tc>
          <w:tcPr>
            <w:tcW w:w="548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20144E2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13.91±0.11</w:t>
            </w:r>
          </w:p>
        </w:tc>
        <w:tc>
          <w:tcPr>
            <w:tcW w:w="420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5BC5F47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20.54</w:t>
            </w:r>
          </w:p>
        </w:tc>
        <w:tc>
          <w:tcPr>
            <w:tcW w:w="32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6A00414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436</w:t>
            </w:r>
          </w:p>
        </w:tc>
        <w:tc>
          <w:tcPr>
            <w:tcW w:w="99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3C95293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(0.1611, 0.0824)</w:t>
            </w:r>
          </w:p>
        </w:tc>
      </w:tr>
      <w:tr w14:paraId="5B00C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83818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Skyblue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CB3EE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0.859±0.001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F88AE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21.98±0.21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3F2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21.77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34B28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65.24±0.14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73C01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12.31±0.10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5AE14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28.95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42C8E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462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E0C0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(0.2195, 0.2627)</w:t>
            </w:r>
          </w:p>
        </w:tc>
      </w:tr>
      <w:tr w14:paraId="38B213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629D2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Azur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F47B0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0.858±0.002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E0215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19.31±0.15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29CA0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19.04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F540E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63.66±0.55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8842F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10.55±0.12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3FCE1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37.50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91CAF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404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E09F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(0.2396, 0.2921)</w:t>
            </w:r>
          </w:p>
        </w:tc>
      </w:tr>
      <w:tr w14:paraId="39E2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B886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Yellow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9B450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0.860±0.002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72D69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22.27±0.16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618DF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22.18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4E313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66.22±0.40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8355A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12.69±0.11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3BBA7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25.13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2B62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583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3EB9C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(0.3860, 0.4251)</w:t>
            </w:r>
          </w:p>
        </w:tc>
      </w:tr>
      <w:tr w14:paraId="46DCC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CF49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Vermilion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0AB1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0.860±0.001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131F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22.97±0.26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737BC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22.77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2010F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66.53±0.34</w:t>
            </w:r>
          </w:p>
        </w:tc>
        <w:tc>
          <w:tcPr>
            <w:tcW w:w="5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F8D85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13.14±0.16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4DE8A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20.70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A28F4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641</w:t>
            </w: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91E3CC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(0.4775, 0.3301)</w:t>
            </w:r>
          </w:p>
        </w:tc>
      </w:tr>
      <w:tr w14:paraId="2E64A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6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E4CABE1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Brown</w:t>
            </w:r>
          </w:p>
        </w:tc>
        <w:tc>
          <w:tcPr>
            <w:tcW w:w="596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6AA842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0.863±0.001</w:t>
            </w:r>
          </w:p>
        </w:tc>
        <w:tc>
          <w:tcPr>
            <w:tcW w:w="54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CC5DDC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25.01±0.19</w:t>
            </w:r>
          </w:p>
        </w:tc>
        <w:tc>
          <w:tcPr>
            <w:tcW w:w="51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DDA8B4A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24.65</w:t>
            </w:r>
          </w:p>
        </w:tc>
        <w:tc>
          <w:tcPr>
            <w:tcW w:w="54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41E67D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66.99±0.44</w:t>
            </w:r>
          </w:p>
        </w:tc>
        <w:tc>
          <w:tcPr>
            <w:tcW w:w="548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D830B76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14.46±0.15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75B6B9B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3.60</w:t>
            </w:r>
          </w:p>
        </w:tc>
        <w:tc>
          <w:tcPr>
            <w:tcW w:w="32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93C0CED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628</w:t>
            </w:r>
          </w:p>
        </w:tc>
        <w:tc>
          <w:tcPr>
            <w:tcW w:w="99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FC89E10">
            <w:pPr>
              <w:pStyle w:val="16"/>
              <w:rPr>
                <w:rFonts w:eastAsia="宋体"/>
              </w:rPr>
            </w:pPr>
            <w:r>
              <w:rPr>
                <w:rFonts w:eastAsia="宋体"/>
              </w:rPr>
              <w:t>(0.5569, 0.2979)</w:t>
            </w:r>
          </w:p>
        </w:tc>
      </w:tr>
    </w:tbl>
    <w:p w14:paraId="6772DAFC">
      <w:pPr>
        <w:rPr>
          <w:b/>
        </w:rPr>
      </w:pPr>
    </w:p>
    <w:p w14:paraId="3C47D1DC">
      <w:pPr>
        <w:widowControl/>
        <w:spacing w:after="160" w:afterLines="0" w:line="259" w:lineRule="auto"/>
        <w:jc w:val="left"/>
        <w:rPr>
          <w:b/>
        </w:rPr>
      </w:pPr>
      <w:r>
        <w:rPr>
          <w:b/>
        </w:rPr>
        <w:br w:type="page"/>
      </w:r>
    </w:p>
    <w:p w14:paraId="2A4AB65F">
      <w:r>
        <w:rPr>
          <w:b/>
        </w:rPr>
        <w:t>Table S5.</w:t>
      </w:r>
      <w:r>
        <w:t xml:space="preserve"> A summary of the PCE and </w:t>
      </w:r>
      <w:r>
        <w:rPr>
          <w:i/>
        </w:rPr>
        <w:t>T</w:t>
      </w:r>
      <w:r>
        <w:rPr>
          <w:i/>
          <w:vertAlign w:val="subscript"/>
        </w:rPr>
        <w:t>max</w:t>
      </w:r>
      <w:r>
        <w:t xml:space="preserve"> of the color ST-OSCs with small effective area reported by different groups and in this work.</w:t>
      </w:r>
    </w:p>
    <w:tbl>
      <w:tblPr>
        <w:tblStyle w:val="2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134"/>
        <w:gridCol w:w="850"/>
        <w:gridCol w:w="851"/>
        <w:gridCol w:w="992"/>
        <w:gridCol w:w="850"/>
        <w:gridCol w:w="1091"/>
      </w:tblGrid>
      <w:tr w14:paraId="67727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26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0F431F00">
            <w:pPr>
              <w:pStyle w:val="16"/>
              <w:spacing w:line="276" w:lineRule="auto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Reference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D08F73A">
            <w:pPr>
              <w:pStyle w:val="16"/>
              <w:spacing w:line="276" w:lineRule="auto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Blue ST-OSCs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C0136B2">
            <w:pPr>
              <w:pStyle w:val="16"/>
              <w:spacing w:line="276" w:lineRule="auto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Green ST-OSCs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559C4792">
            <w:pPr>
              <w:pStyle w:val="16"/>
              <w:spacing w:line="276" w:lineRule="auto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Red ST-OSCs</w:t>
            </w:r>
          </w:p>
        </w:tc>
      </w:tr>
      <w:tr w14:paraId="2F990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5BE7DD">
            <w:pPr>
              <w:pStyle w:val="16"/>
              <w:spacing w:line="276" w:lineRule="auto"/>
              <w:rPr>
                <w:rFonts w:eastAsia="宋体"/>
              </w:rPr>
            </w:pP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6DAC2E8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PCE</w:t>
            </w:r>
          </w:p>
          <w:p w14:paraId="61740BE8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F9A404">
            <w:pPr>
              <w:pStyle w:val="16"/>
              <w:spacing w:beforeAutospacing="0" w:after="0" w:afterLines="0" w:afterAutospacing="0" w:line="276" w:lineRule="auto"/>
              <w:rPr>
                <w:rFonts w:eastAsia="宋体"/>
                <w:i/>
              </w:rPr>
            </w:pPr>
            <w:r>
              <w:rPr>
                <w:rFonts w:eastAsia="宋体"/>
                <w:i/>
              </w:rPr>
              <w:t>T</w:t>
            </w:r>
            <w:r>
              <w:rPr>
                <w:rFonts w:eastAsia="宋体"/>
                <w:i/>
                <w:vertAlign w:val="subscript"/>
              </w:rPr>
              <w:t>max</w:t>
            </w:r>
          </w:p>
          <w:p w14:paraId="7315F408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C3FDB28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PCE</w:t>
            </w:r>
          </w:p>
          <w:p w14:paraId="28C757F0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8553D4">
            <w:pPr>
              <w:pStyle w:val="16"/>
              <w:spacing w:beforeAutospacing="0" w:after="0" w:afterLines="0" w:afterAutospacing="0" w:line="276" w:lineRule="auto"/>
              <w:rPr>
                <w:rFonts w:eastAsia="宋体"/>
                <w:i/>
              </w:rPr>
            </w:pPr>
            <w:r>
              <w:rPr>
                <w:rFonts w:eastAsia="宋体"/>
                <w:i/>
              </w:rPr>
              <w:t>T</w:t>
            </w:r>
            <w:r>
              <w:rPr>
                <w:rFonts w:eastAsia="宋体"/>
                <w:i/>
                <w:vertAlign w:val="subscript"/>
              </w:rPr>
              <w:t>max</w:t>
            </w:r>
          </w:p>
          <w:p w14:paraId="4FEDA3FD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AB8EEB0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PCE</w:t>
            </w:r>
          </w:p>
          <w:p w14:paraId="53A9B53F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09B0D86">
            <w:pPr>
              <w:pStyle w:val="16"/>
              <w:spacing w:beforeAutospacing="0" w:after="0" w:afterLines="0" w:afterAutospacing="0" w:line="276" w:lineRule="auto"/>
              <w:rPr>
                <w:rFonts w:eastAsia="宋体"/>
                <w:i/>
              </w:rPr>
            </w:pPr>
            <w:r>
              <w:rPr>
                <w:rFonts w:eastAsia="宋体"/>
                <w:i/>
              </w:rPr>
              <w:t>T</w:t>
            </w:r>
            <w:r>
              <w:rPr>
                <w:rFonts w:eastAsia="宋体"/>
                <w:i/>
                <w:vertAlign w:val="subscript"/>
              </w:rPr>
              <w:t>max</w:t>
            </w:r>
          </w:p>
          <w:p w14:paraId="4762AD23">
            <w:pPr>
              <w:pStyle w:val="16"/>
              <w:spacing w:beforeAutospacing="0" w:after="0" w:afterLines="0" w:afterAutospacing="0" w:line="276" w:lineRule="auto"/>
              <w:rPr>
                <w:rFonts w:eastAsia="宋体"/>
              </w:rPr>
            </w:pPr>
            <w:r>
              <w:rPr>
                <w:rFonts w:eastAsia="宋体"/>
              </w:rPr>
              <w:t>(%)</w:t>
            </w:r>
          </w:p>
        </w:tc>
      </w:tr>
      <w:tr w14:paraId="4F205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13F4E869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Adv. Optical Mater. 2018, 6,   1800051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3584ADF5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4.54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E12511E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27.7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5FBEBFD1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4.46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33D19F8D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32.1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0BE2A9E9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4.31</w:t>
            </w: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19D0047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25.7</w:t>
            </w:r>
          </w:p>
        </w:tc>
      </w:tr>
      <w:tr w14:paraId="51C8C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1E79B80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Adv. Funct. Mater. 2018, 28,   1703398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D455BFD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7.8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8E6AE43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9.4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4B80068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8.1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1F454DF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14.5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568C69B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7.2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7E8C0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16.6</w:t>
            </w:r>
          </w:p>
        </w:tc>
      </w:tr>
      <w:tr w14:paraId="13976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1516C19C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ACS Appl. Mater. Interfaces.   2019, 11, 18887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50E27A2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B1340E7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43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CADA999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D501797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36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4A5E0DD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5.48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02C11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14</w:t>
            </w:r>
          </w:p>
        </w:tc>
      </w:tr>
      <w:tr w14:paraId="7EF9B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F8FBCFF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ACS Appl. Mater. Interfaces.  2019, 11, 47992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585273DA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8.94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E335DA4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16.9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39C488D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8.97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D981952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24.7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F103F4C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8.96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91EA7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24.3</w:t>
            </w:r>
          </w:p>
        </w:tc>
      </w:tr>
      <w:tr w14:paraId="05CC8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DE6310E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ACS Energy Lett. 2020, 5,      3115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62F4C099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14.04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28D979B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31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6CFDEFF8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14.6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4EBF50D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21.8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B24EC95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14.28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4E971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25.2</w:t>
            </w:r>
          </w:p>
        </w:tc>
      </w:tr>
      <w:tr w14:paraId="65DEB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A315C05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J. Mater. Chem. C. 2021, 9,      11142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52A43695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0CEDB42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15.05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ABE2063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AED2C4B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9.63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7C8EC4F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13.43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E7798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5.41</w:t>
            </w:r>
          </w:p>
        </w:tc>
      </w:tr>
      <w:tr w14:paraId="181B4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0EAAC26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Nano Energy 2021, 80, 105565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75DB28AF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3B4BD94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15.6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77D9C847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12.9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8E5532F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10.4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0B53AF9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12.94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4108A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10.5</w:t>
            </w:r>
          </w:p>
        </w:tc>
      </w:tr>
      <w:tr w14:paraId="117AC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40AD2AB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Adv. Mater. 2023, 35, 2300360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6E40CD40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70EF601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24.9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400519E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B47D84A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22.2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E416A12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F108D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16.6</w:t>
            </w:r>
          </w:p>
        </w:tc>
      </w:tr>
      <w:tr w14:paraId="27F7F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17CC6161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Adv. Energy Mater. 2023, 13, 2301361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6C07898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15.6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0DF1517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13.8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9390433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15.75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5B62E148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21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7B696F4E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15.7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FEF9C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12.9</w:t>
            </w:r>
          </w:p>
        </w:tc>
      </w:tr>
      <w:tr w14:paraId="0566C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F0A3140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Adv. Optical Mater. 2024, 12, 2302285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510407D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4B86C5E3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37.8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C628470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A7F708A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28.4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60D2C48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13.2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8B14F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27.7</w:t>
            </w:r>
          </w:p>
        </w:tc>
      </w:tr>
      <w:tr w14:paraId="51B8B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E3FBD5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This work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C410969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16.19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12F968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24.07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0F6D2C9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15.81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015837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21.68</w:t>
            </w:r>
          </w:p>
        </w:tc>
        <w:tc>
          <w:tcPr>
            <w:tcW w:w="85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6A1FEBC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15.67</w:t>
            </w: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FB65A73">
            <w:pPr>
              <w:pStyle w:val="16"/>
              <w:spacing w:line="276" w:lineRule="auto"/>
              <w:rPr>
                <w:rFonts w:eastAsia="宋体"/>
              </w:rPr>
            </w:pPr>
            <w:r>
              <w:rPr>
                <w:rFonts w:eastAsia="宋体"/>
              </w:rPr>
              <w:t>20.11</w:t>
            </w:r>
          </w:p>
        </w:tc>
      </w:tr>
    </w:tbl>
    <w:p w14:paraId="35D7EC37"/>
    <w:p w14:paraId="378DBACB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9" w:h="16834"/>
      <w:pgMar w:top="1440" w:right="1440" w:bottom="1440" w:left="1440" w:header="677" w:footer="677" w:gutter="0"/>
      <w:paperSrc w:first="7" w:other="7"/>
      <w:cols w:space="708" w:num="1"/>
      <w:docGrid w:linePitch="27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87637675"/>
    </w:sdtPr>
    <w:sdtContent>
      <w:p w14:paraId="3681764D">
        <w:pPr>
          <w:pStyle w:val="13"/>
          <w:spacing w:after="120"/>
          <w:jc w:val="right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5CE76">
    <w:pPr>
      <w:pStyle w:val="13"/>
      <w:spacing w:after="120"/>
    </w:pPr>
  </w:p>
  <w:p w14:paraId="4CEE41B5"/>
  <w:p w14:paraId="21753034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D9833">
    <w:pPr>
      <w:pStyle w:val="13"/>
      <w:spacing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BFDFC">
    <w:pPr>
      <w:pStyle w:val="14"/>
      <w:spacing w:after="1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3C44E">
    <w:pPr>
      <w:pStyle w:val="14"/>
      <w:spacing w:after="120"/>
    </w:pPr>
  </w:p>
  <w:p w14:paraId="0E4EAA53"/>
  <w:p w14:paraId="468D0B88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507CA1">
    <w:pPr>
      <w:pStyle w:val="14"/>
      <w:spacing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hyphenationZone w:val="425"/>
  <w:drawingGridHorizontalSpacing w:val="100"/>
  <w:drawingGridVerticalSpacing w:val="136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0OTY1ODFkZWY5NTUxNjNlZGRhNzc5YjQ2MjE3M2EifQ=="/>
  </w:docVars>
  <w:rsids>
    <w:rsidRoot w:val="0050421E"/>
    <w:rsid w:val="000D189D"/>
    <w:rsid w:val="00151B9A"/>
    <w:rsid w:val="00154AF5"/>
    <w:rsid w:val="00162FC9"/>
    <w:rsid w:val="00182865"/>
    <w:rsid w:val="001D7D1E"/>
    <w:rsid w:val="001F6D5A"/>
    <w:rsid w:val="0023471A"/>
    <w:rsid w:val="002A226F"/>
    <w:rsid w:val="002D3865"/>
    <w:rsid w:val="002F5104"/>
    <w:rsid w:val="00331979"/>
    <w:rsid w:val="00340B56"/>
    <w:rsid w:val="003D57B7"/>
    <w:rsid w:val="00453561"/>
    <w:rsid w:val="004856CD"/>
    <w:rsid w:val="004C2FBD"/>
    <w:rsid w:val="0050421E"/>
    <w:rsid w:val="005222E3"/>
    <w:rsid w:val="00594CB1"/>
    <w:rsid w:val="00594E49"/>
    <w:rsid w:val="005C5D14"/>
    <w:rsid w:val="005C7284"/>
    <w:rsid w:val="005C7DF2"/>
    <w:rsid w:val="005D2528"/>
    <w:rsid w:val="005D47A8"/>
    <w:rsid w:val="005D47BF"/>
    <w:rsid w:val="005E2E2D"/>
    <w:rsid w:val="006448A8"/>
    <w:rsid w:val="006571C8"/>
    <w:rsid w:val="006829BA"/>
    <w:rsid w:val="00697084"/>
    <w:rsid w:val="006C1833"/>
    <w:rsid w:val="006F6CB2"/>
    <w:rsid w:val="00706385"/>
    <w:rsid w:val="0071562A"/>
    <w:rsid w:val="00762332"/>
    <w:rsid w:val="00774414"/>
    <w:rsid w:val="0088398E"/>
    <w:rsid w:val="008E081D"/>
    <w:rsid w:val="008E2E85"/>
    <w:rsid w:val="008E3393"/>
    <w:rsid w:val="00944D9C"/>
    <w:rsid w:val="009A0277"/>
    <w:rsid w:val="009B1954"/>
    <w:rsid w:val="009D1DE5"/>
    <w:rsid w:val="009F0525"/>
    <w:rsid w:val="00A17FAA"/>
    <w:rsid w:val="00A71B59"/>
    <w:rsid w:val="00A74985"/>
    <w:rsid w:val="00AA78B5"/>
    <w:rsid w:val="00AD322E"/>
    <w:rsid w:val="00AF19B4"/>
    <w:rsid w:val="00B31B70"/>
    <w:rsid w:val="00B80C8B"/>
    <w:rsid w:val="00B8282D"/>
    <w:rsid w:val="00B8330E"/>
    <w:rsid w:val="00BF399C"/>
    <w:rsid w:val="00BF5890"/>
    <w:rsid w:val="00C22381"/>
    <w:rsid w:val="00C4527E"/>
    <w:rsid w:val="00C829F2"/>
    <w:rsid w:val="00C950C6"/>
    <w:rsid w:val="00CA587E"/>
    <w:rsid w:val="00CA5FE9"/>
    <w:rsid w:val="00CE1076"/>
    <w:rsid w:val="00D10EFB"/>
    <w:rsid w:val="00D9371F"/>
    <w:rsid w:val="00DD182F"/>
    <w:rsid w:val="00E5174D"/>
    <w:rsid w:val="00E754EE"/>
    <w:rsid w:val="00EA6A7F"/>
    <w:rsid w:val="00EA79D4"/>
    <w:rsid w:val="00F3381D"/>
    <w:rsid w:val="00F408F6"/>
    <w:rsid w:val="00F4663D"/>
    <w:rsid w:val="00F71976"/>
    <w:rsid w:val="00FF7F37"/>
    <w:rsid w:val="02717049"/>
    <w:rsid w:val="0A0F5205"/>
    <w:rsid w:val="0CFF34DF"/>
    <w:rsid w:val="14D7775C"/>
    <w:rsid w:val="19426D2F"/>
    <w:rsid w:val="1AB56038"/>
    <w:rsid w:val="1C6A0A7D"/>
    <w:rsid w:val="1D0A0FEB"/>
    <w:rsid w:val="236D6760"/>
    <w:rsid w:val="2513366B"/>
    <w:rsid w:val="26071722"/>
    <w:rsid w:val="28793E59"/>
    <w:rsid w:val="28EE494D"/>
    <w:rsid w:val="31D57608"/>
    <w:rsid w:val="35CB6CEE"/>
    <w:rsid w:val="36FA5F94"/>
    <w:rsid w:val="37864AC8"/>
    <w:rsid w:val="38736E44"/>
    <w:rsid w:val="38D429AD"/>
    <w:rsid w:val="3D1B66CA"/>
    <w:rsid w:val="406E678A"/>
    <w:rsid w:val="426B67E5"/>
    <w:rsid w:val="43FE2FD4"/>
    <w:rsid w:val="464B07E0"/>
    <w:rsid w:val="4CB31EAC"/>
    <w:rsid w:val="4CC047CC"/>
    <w:rsid w:val="4D8220AC"/>
    <w:rsid w:val="4F1C7F87"/>
    <w:rsid w:val="53E34AE9"/>
    <w:rsid w:val="55971DA2"/>
    <w:rsid w:val="5BAD4DAA"/>
    <w:rsid w:val="5D2C523C"/>
    <w:rsid w:val="603D1A42"/>
    <w:rsid w:val="632E6FDA"/>
    <w:rsid w:val="6A785127"/>
    <w:rsid w:val="6AC549B7"/>
    <w:rsid w:val="6D5954D9"/>
    <w:rsid w:val="6E611A17"/>
    <w:rsid w:val="6ED056BD"/>
    <w:rsid w:val="733428CA"/>
    <w:rsid w:val="76182881"/>
    <w:rsid w:val="7B9F4679"/>
    <w:rsid w:val="7C5F5BA7"/>
    <w:rsid w:val="7D1A28DF"/>
    <w:rsid w:val="7FA0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120" w:afterLines="50" w:line="360" w:lineRule="auto"/>
      <w:jc w:val="both"/>
    </w:pPr>
    <w:rPr>
      <w:rFonts w:ascii="Times New Roman" w:hAnsi="Times New Roman" w:cs="Times New Roman" w:eastAsiaTheme="minorEastAsia"/>
      <w:bCs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25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26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8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9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30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1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32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48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12">
    <w:name w:val="Balloon Text"/>
    <w:basedOn w:val="1"/>
    <w:link w:val="52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13">
    <w:name w:val="footer"/>
    <w:basedOn w:val="1"/>
    <w:link w:val="44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4">
    <w:name w:val="header"/>
    <w:basedOn w:val="1"/>
    <w:link w:val="43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5">
    <w:name w:val="Subtitle"/>
    <w:basedOn w:val="1"/>
    <w:next w:val="1"/>
    <w:link w:val="34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Normal (Web)"/>
    <w:basedOn w:val="1"/>
    <w:qFormat/>
    <w:uiPriority w:val="0"/>
    <w:pPr>
      <w:spacing w:beforeAutospacing="1" w:afterAutospacing="1"/>
      <w:jc w:val="left"/>
    </w:pPr>
    <w:rPr>
      <w:kern w:val="0"/>
    </w:rPr>
  </w:style>
  <w:style w:type="paragraph" w:styleId="17">
    <w:name w:val="Title"/>
    <w:basedOn w:val="1"/>
    <w:next w:val="1"/>
    <w:link w:val="33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8">
    <w:name w:val="annotation subject"/>
    <w:basedOn w:val="11"/>
    <w:next w:val="11"/>
    <w:link w:val="49"/>
    <w:semiHidden/>
    <w:unhideWhenUsed/>
    <w:qFormat/>
    <w:uiPriority w:val="99"/>
    <w:rPr>
      <w:b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Hyperlink"/>
    <w:basedOn w:val="21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1"/>
    <w:semiHidden/>
    <w:unhideWhenUsed/>
    <w:qFormat/>
    <w:uiPriority w:val="99"/>
    <w:rPr>
      <w:sz w:val="16"/>
      <w:szCs w:val="16"/>
    </w:rPr>
  </w:style>
  <w:style w:type="character" w:customStyle="1" w:styleId="24">
    <w:name w:val="Heading 1 Char"/>
    <w:basedOn w:val="2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5">
    <w:name w:val="Heading 2 Char"/>
    <w:basedOn w:val="2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6">
    <w:name w:val="Heading 3 Char"/>
    <w:basedOn w:val="2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7">
    <w:name w:val="Heading 4 Char"/>
    <w:basedOn w:val="2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8">
    <w:name w:val="Heading 5 Char"/>
    <w:basedOn w:val="2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9">
    <w:name w:val="Heading 6 Char"/>
    <w:basedOn w:val="2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Heading 7 Char"/>
    <w:basedOn w:val="2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1">
    <w:name w:val="Heading 8 Char"/>
    <w:basedOn w:val="2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2">
    <w:name w:val="Heading 9 Char"/>
    <w:basedOn w:val="2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3">
    <w:name w:val="Title Char"/>
    <w:basedOn w:val="21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4">
    <w:name w:val="Subtitle Char"/>
    <w:basedOn w:val="21"/>
    <w:link w:val="1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5">
    <w:name w:val="Quote"/>
    <w:basedOn w:val="1"/>
    <w:next w:val="1"/>
    <w:link w:val="36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Quote Char"/>
    <w:basedOn w:val="21"/>
    <w:link w:val="35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7">
    <w:name w:val="List Paragraph"/>
    <w:basedOn w:val="1"/>
    <w:qFormat/>
    <w:uiPriority w:val="34"/>
    <w:pPr>
      <w:ind w:left="720"/>
      <w:contextualSpacing/>
    </w:pPr>
  </w:style>
  <w:style w:type="character" w:customStyle="1" w:styleId="38">
    <w:name w:val="明显强调1"/>
    <w:basedOn w:val="21"/>
    <w:qFormat/>
    <w:uiPriority w:val="21"/>
    <w:rPr>
      <w:i/>
      <w:iCs/>
      <w:color w:val="104862" w:themeColor="accent1" w:themeShade="BF"/>
    </w:rPr>
  </w:style>
  <w:style w:type="paragraph" w:styleId="39">
    <w:name w:val="Intense Quote"/>
    <w:basedOn w:val="1"/>
    <w:next w:val="1"/>
    <w:link w:val="40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40">
    <w:name w:val="Intense Quote Char"/>
    <w:basedOn w:val="21"/>
    <w:link w:val="39"/>
    <w:qFormat/>
    <w:uiPriority w:val="30"/>
    <w:rPr>
      <w:i/>
      <w:iCs/>
      <w:color w:val="104862" w:themeColor="accent1" w:themeShade="BF"/>
    </w:rPr>
  </w:style>
  <w:style w:type="character" w:customStyle="1" w:styleId="41">
    <w:name w:val="明显参考1"/>
    <w:basedOn w:val="2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2">
    <w:name w:val="content-right_8zs40"/>
    <w:basedOn w:val="21"/>
    <w:autoRedefine/>
    <w:qFormat/>
    <w:uiPriority w:val="0"/>
  </w:style>
  <w:style w:type="character" w:customStyle="1" w:styleId="43">
    <w:name w:val="Header Char"/>
    <w:basedOn w:val="21"/>
    <w:link w:val="14"/>
    <w:qFormat/>
    <w:uiPriority w:val="99"/>
    <w:rPr>
      <w:rFonts w:ascii="Times New Roman" w:hAnsi="Times New Roman" w:cs="Times New Roman"/>
      <w:bCs/>
      <w:sz w:val="24"/>
      <w:szCs w:val="24"/>
      <w14:ligatures w14:val="none"/>
    </w:rPr>
  </w:style>
  <w:style w:type="character" w:customStyle="1" w:styleId="44">
    <w:name w:val="Footer Char"/>
    <w:basedOn w:val="21"/>
    <w:link w:val="13"/>
    <w:qFormat/>
    <w:uiPriority w:val="99"/>
    <w:rPr>
      <w:rFonts w:ascii="Times New Roman" w:hAnsi="Times New Roman" w:cs="Times New Roman"/>
      <w:bCs/>
      <w:sz w:val="24"/>
      <w:szCs w:val="24"/>
      <w14:ligatures w14:val="none"/>
    </w:rPr>
  </w:style>
  <w:style w:type="paragraph" w:customStyle="1" w:styleId="45">
    <w:name w:val="Authors Full"/>
    <w:basedOn w:val="1"/>
    <w:qFormat/>
    <w:uiPriority w:val="0"/>
    <w:pPr>
      <w:widowControl/>
      <w:spacing w:after="0" w:afterLines="0" w:line="240" w:lineRule="auto"/>
      <w:jc w:val="left"/>
    </w:pPr>
    <w:rPr>
      <w:rFonts w:eastAsia="MS Mincho"/>
      <w:bCs w:val="0"/>
      <w:i/>
      <w:kern w:val="0"/>
      <w:lang w:eastAsia="ja-JP"/>
    </w:rPr>
  </w:style>
  <w:style w:type="paragraph" w:customStyle="1" w:styleId="46">
    <w:name w:val="Addresses"/>
    <w:basedOn w:val="1"/>
    <w:qFormat/>
    <w:uiPriority w:val="0"/>
    <w:pPr>
      <w:widowControl/>
      <w:spacing w:after="0" w:afterLines="0" w:line="240" w:lineRule="auto"/>
      <w:jc w:val="left"/>
    </w:pPr>
    <w:rPr>
      <w:rFonts w:eastAsia="MS Mincho"/>
      <w:bCs w:val="0"/>
      <w:kern w:val="0"/>
      <w:lang w:eastAsia="ja-JP"/>
    </w:rPr>
  </w:style>
  <w:style w:type="paragraph" w:customStyle="1" w:styleId="47">
    <w:name w:val="修订1"/>
    <w:hidden/>
    <w:semiHidden/>
    <w:qFormat/>
    <w:uiPriority w:val="99"/>
    <w:rPr>
      <w:rFonts w:ascii="Times New Roman" w:hAnsi="Times New Roman" w:cs="Times New Roman" w:eastAsiaTheme="minorEastAsia"/>
      <w:bCs/>
      <w:kern w:val="2"/>
      <w:sz w:val="24"/>
      <w:szCs w:val="24"/>
      <w:lang w:val="en-US" w:eastAsia="zh-CN" w:bidi="ar-SA"/>
    </w:rPr>
  </w:style>
  <w:style w:type="character" w:customStyle="1" w:styleId="48">
    <w:name w:val="Comment Text Char"/>
    <w:basedOn w:val="21"/>
    <w:link w:val="11"/>
    <w:qFormat/>
    <w:uiPriority w:val="99"/>
    <w:rPr>
      <w:rFonts w:ascii="Times New Roman" w:hAnsi="Times New Roman" w:cs="Times New Roman"/>
      <w:bCs/>
      <w:sz w:val="20"/>
      <w:szCs w:val="20"/>
      <w14:ligatures w14:val="none"/>
    </w:rPr>
  </w:style>
  <w:style w:type="character" w:customStyle="1" w:styleId="49">
    <w:name w:val="Comment Subject Char"/>
    <w:basedOn w:val="48"/>
    <w:link w:val="18"/>
    <w:semiHidden/>
    <w:qFormat/>
    <w:uiPriority w:val="99"/>
    <w:rPr>
      <w:rFonts w:ascii="Times New Roman" w:hAnsi="Times New Roman" w:cs="Times New Roman"/>
      <w:b/>
      <w:sz w:val="20"/>
      <w:szCs w:val="20"/>
      <w14:ligatures w14:val="none"/>
    </w:rPr>
  </w:style>
  <w:style w:type="character" w:customStyle="1" w:styleId="50">
    <w:name w:val="address"/>
    <w:basedOn w:val="21"/>
    <w:qFormat/>
    <w:uiPriority w:val="0"/>
  </w:style>
  <w:style w:type="paragraph" w:customStyle="1" w:styleId="51">
    <w:name w:val="Revision"/>
    <w:hidden/>
    <w:semiHidden/>
    <w:qFormat/>
    <w:uiPriority w:val="99"/>
    <w:rPr>
      <w:rFonts w:ascii="Times New Roman" w:hAnsi="Times New Roman" w:cs="Times New Roman" w:eastAsiaTheme="minorEastAsia"/>
      <w:bCs/>
      <w:kern w:val="2"/>
      <w:sz w:val="24"/>
      <w:szCs w:val="24"/>
      <w:lang w:val="en-US" w:eastAsia="zh-CN" w:bidi="ar-SA"/>
    </w:rPr>
  </w:style>
  <w:style w:type="character" w:customStyle="1" w:styleId="52">
    <w:name w:val="Balloon Text Char"/>
    <w:basedOn w:val="21"/>
    <w:link w:val="12"/>
    <w:semiHidden/>
    <w:qFormat/>
    <w:uiPriority w:val="99"/>
    <w:rPr>
      <w:rFonts w:eastAsiaTheme="minorEastAsia"/>
      <w:bCs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image" Target="media/image15.jpe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pn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2072</Words>
  <Characters>11083</Characters>
  <Lines>96</Lines>
  <Paragraphs>27</Paragraphs>
  <TotalTime>31</TotalTime>
  <ScaleCrop>false</ScaleCrop>
  <LinksUpToDate>false</LinksUpToDate>
  <CharactersWithSpaces>12916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2024-06-30T14:13:00Z</dcterms:created>
  <dc:creator>Furong ZHU</dc:creator>
  <cp:lastModifiedBy>Baozhong DENG</cp:lastModifiedBy>
  <dcterms:modified xsi:type="dcterms:W3CDTF">2024-08-19T06:14:34Z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C34B6FDE55CA4F1681D0CE8395379BD2_13</vt:lpwstr>
  </property>
</Properties>
</file>