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7D78F7">
      <w:pPr>
        <w:autoSpaceDE w:val="0"/>
        <w:autoSpaceDN w:val="0"/>
        <w:adjustRightInd w:val="0"/>
        <w:spacing w:line="360" w:lineRule="auto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Supplementary Figure 1</w:t>
      </w:r>
    </w:p>
    <w:p w14:paraId="7C011B26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 xml:space="preserve">qRT-PCR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and western blotting 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presented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 xml:space="preserve"> the time-dependent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and dose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-dependent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de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 xml:space="preserve">crease of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SMA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 xml:space="preserve"> in VSMCs. </w:t>
      </w:r>
      <w:r>
        <w:rPr>
          <w:rFonts w:hint="default" w:ascii="Times New Roman" w:hAnsi="Times New Roman" w:cs="Times New Roman"/>
          <w:b w:val="0"/>
          <w:bCs/>
          <w:color w:val="auto"/>
          <w:sz w:val="24"/>
          <w:szCs w:val="24"/>
          <w:lang w:eastAsia="zh-CN"/>
        </w:rPr>
        <w:t>(</w:t>
      </w:r>
      <w:r>
        <w:rPr>
          <w:rFonts w:hint="default" w:ascii="Times New Roman" w:hAnsi="Times New Roman" w:cs="Times New Roman"/>
          <w:b w:val="0"/>
          <w:bCs/>
          <w:color w:val="auto"/>
          <w:sz w:val="24"/>
          <w:szCs w:val="24"/>
          <w:lang w:val="en-US" w:eastAsia="zh-CN"/>
        </w:rPr>
        <w:t>B</w:t>
      </w:r>
      <w:r>
        <w:rPr>
          <w:rFonts w:hint="default" w:ascii="Times New Roman" w:hAnsi="Times New Roman" w:cs="Times New Roman"/>
          <w:b w:val="0"/>
          <w:bCs/>
          <w:color w:val="auto"/>
          <w:sz w:val="24"/>
          <w:szCs w:val="24"/>
          <w:lang w:eastAsia="zh-CN"/>
        </w:rPr>
        <w:t>)</w:t>
      </w:r>
      <w:r>
        <w:rPr>
          <w:rFonts w:hint="default" w:ascii="Times New Roman" w:hAnsi="Times New Roman" w:cs="Times New Roman"/>
          <w:b w:val="0"/>
          <w:bCs/>
          <w:color w:val="auto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 xml:space="preserve">qRT-PCR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and western blotting 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presented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 xml:space="preserve"> the time-dependent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and dose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-dependent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de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 xml:space="preserve">crease of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Calponin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 xml:space="preserve"> in VSMCs.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/>
          <w:color w:val="auto"/>
          <w:sz w:val="24"/>
          <w:szCs w:val="24"/>
          <w:lang w:eastAsia="zh-CN"/>
        </w:rPr>
        <w:t>(</w:t>
      </w:r>
      <w:r>
        <w:rPr>
          <w:rFonts w:hint="default" w:ascii="Times New Roman" w:hAnsi="Times New Roman" w:cs="Times New Roman"/>
          <w:b w:val="0"/>
          <w:bCs/>
          <w:color w:val="auto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cs="Times New Roman"/>
          <w:b w:val="0"/>
          <w:bCs/>
          <w:color w:val="auto"/>
          <w:sz w:val="24"/>
          <w:szCs w:val="24"/>
          <w:lang w:eastAsia="zh-CN"/>
        </w:rPr>
        <w:t>)</w:t>
      </w:r>
      <w:r>
        <w:rPr>
          <w:rFonts w:hint="default" w:ascii="Times New Roman" w:hAnsi="Times New Roman" w:cs="Times New Roman"/>
          <w:b w:val="0"/>
          <w:bCs/>
          <w:color w:val="auto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 xml:space="preserve">qRT-PCR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and western blotting 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presented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 xml:space="preserve"> the time-dependent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and dose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-dependent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de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 xml:space="preserve">crease of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MYH11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 xml:space="preserve"> in VSMCs. </w:t>
      </w:r>
    </w:p>
    <w:p w14:paraId="094BACEE">
      <w:pPr>
        <w:numPr>
          <w:numId w:val="0"/>
        </w:numPr>
        <w:autoSpaceDE w:val="0"/>
        <w:autoSpaceDN w:val="0"/>
        <w:adjustRightInd w:val="0"/>
        <w:spacing w:line="360" w:lineRule="auto"/>
        <w:rPr>
          <w:rFonts w:hint="default" w:ascii="Times New Roman" w:hAnsi="Times New Roman" w:cs="Times New Roman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color w:val="auto"/>
          <w:sz w:val="24"/>
          <w:szCs w:val="24"/>
          <w:lang w:val="en-US" w:eastAsia="zh-CN"/>
        </w:rPr>
        <w:drawing>
          <wp:inline distT="0" distB="0" distL="114300" distR="114300">
            <wp:extent cx="5454015" cy="5748655"/>
            <wp:effectExtent l="0" t="0" r="13335" b="4445"/>
            <wp:docPr id="3" name="图片 3" descr="Supplement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upplement Fig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54015" cy="5748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A963F3">
      <w:pPr>
        <w:autoSpaceDE w:val="0"/>
        <w:autoSpaceDN w:val="0"/>
        <w:adjustRightInd w:val="0"/>
        <w:spacing w:line="360" w:lineRule="auto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</w:p>
    <w:p w14:paraId="392DE45F">
      <w:pPr>
        <w:autoSpaceDE w:val="0"/>
        <w:autoSpaceDN w:val="0"/>
        <w:adjustRightInd w:val="0"/>
        <w:spacing w:line="360" w:lineRule="auto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</w:p>
    <w:p w14:paraId="67FD7BD2">
      <w:pPr>
        <w:autoSpaceDE w:val="0"/>
        <w:autoSpaceDN w:val="0"/>
        <w:adjustRightInd w:val="0"/>
        <w:spacing w:line="360" w:lineRule="auto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</w:p>
    <w:p w14:paraId="0418BC4B">
      <w:pPr>
        <w:autoSpaceDE w:val="0"/>
        <w:autoSpaceDN w:val="0"/>
        <w:adjustRightInd w:val="0"/>
        <w:spacing w:line="360" w:lineRule="auto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</w:p>
    <w:p w14:paraId="3DC318CC">
      <w:pPr>
        <w:autoSpaceDE w:val="0"/>
        <w:autoSpaceDN w:val="0"/>
        <w:adjustRightInd w:val="0"/>
        <w:spacing w:line="360" w:lineRule="auto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 xml:space="preserve">Supplementary Figure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2</w:t>
      </w:r>
    </w:p>
    <w:p w14:paraId="6C8A3470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(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)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 Changing the bases of the binding site between 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 xml:space="preserve">miR-762 and 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stat3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 in VSMC. 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 xml:space="preserve">(B)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Changing the differenet bases of the binding site between 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 xml:space="preserve">miR-762 and 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stat3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 in VSMC. 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(C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 xml:space="preserve">)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Changing the none differenet bases of the binding site between 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 xml:space="preserve">miR-762 and 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stat3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 in VSMC.</w:t>
      </w:r>
    </w:p>
    <w:p w14:paraId="0BAD01CB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default" w:ascii="Times New Roman" w:hAnsi="Times New Roman" w:cs="Times New Roman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color w:val="auto"/>
          <w:sz w:val="24"/>
          <w:szCs w:val="24"/>
          <w:lang w:val="en-US" w:eastAsia="zh-CN"/>
        </w:rPr>
        <w:drawing>
          <wp:inline distT="0" distB="0" distL="114300" distR="114300">
            <wp:extent cx="5271770" cy="2041525"/>
            <wp:effectExtent l="0" t="0" r="5080" b="15875"/>
            <wp:docPr id="2" name="图片 2" descr="Supplement Fig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pplement Figure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04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C2840E">
      <w:pPr>
        <w:autoSpaceDE w:val="0"/>
        <w:autoSpaceDN w:val="0"/>
        <w:adjustRightInd w:val="0"/>
        <w:spacing w:line="360" w:lineRule="auto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</w:p>
    <w:p w14:paraId="2D308649">
      <w:pPr>
        <w:autoSpaceDE w:val="0"/>
        <w:autoSpaceDN w:val="0"/>
        <w:adjustRightInd w:val="0"/>
        <w:spacing w:line="360" w:lineRule="auto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</w:p>
    <w:p w14:paraId="3F868DB3">
      <w:pPr>
        <w:autoSpaceDE w:val="0"/>
        <w:autoSpaceDN w:val="0"/>
        <w:adjustRightInd w:val="0"/>
        <w:spacing w:line="360" w:lineRule="auto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</w:p>
    <w:p w14:paraId="268D3BF4">
      <w:pPr>
        <w:autoSpaceDE w:val="0"/>
        <w:autoSpaceDN w:val="0"/>
        <w:adjustRightInd w:val="0"/>
        <w:spacing w:line="360" w:lineRule="auto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</w:p>
    <w:p w14:paraId="63B8D307">
      <w:pPr>
        <w:autoSpaceDE w:val="0"/>
        <w:autoSpaceDN w:val="0"/>
        <w:adjustRightInd w:val="0"/>
        <w:spacing w:line="360" w:lineRule="auto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</w:p>
    <w:p w14:paraId="189D90D2">
      <w:pPr>
        <w:autoSpaceDE w:val="0"/>
        <w:autoSpaceDN w:val="0"/>
        <w:adjustRightInd w:val="0"/>
        <w:spacing w:line="360" w:lineRule="auto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</w:p>
    <w:p w14:paraId="53F4B496">
      <w:pPr>
        <w:autoSpaceDE w:val="0"/>
        <w:autoSpaceDN w:val="0"/>
        <w:adjustRightInd w:val="0"/>
        <w:spacing w:line="360" w:lineRule="auto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</w:p>
    <w:p w14:paraId="43B48DDF">
      <w:pPr>
        <w:autoSpaceDE w:val="0"/>
        <w:autoSpaceDN w:val="0"/>
        <w:adjustRightInd w:val="0"/>
        <w:spacing w:line="360" w:lineRule="auto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</w:p>
    <w:p w14:paraId="0BE85868">
      <w:pPr>
        <w:autoSpaceDE w:val="0"/>
        <w:autoSpaceDN w:val="0"/>
        <w:adjustRightInd w:val="0"/>
        <w:spacing w:line="360" w:lineRule="auto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</w:p>
    <w:p w14:paraId="1006A193">
      <w:pPr>
        <w:autoSpaceDE w:val="0"/>
        <w:autoSpaceDN w:val="0"/>
        <w:adjustRightInd w:val="0"/>
        <w:spacing w:line="360" w:lineRule="auto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</w:p>
    <w:p w14:paraId="3805FCAB">
      <w:pPr>
        <w:autoSpaceDE w:val="0"/>
        <w:autoSpaceDN w:val="0"/>
        <w:adjustRightInd w:val="0"/>
        <w:spacing w:line="360" w:lineRule="auto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</w:p>
    <w:p w14:paraId="7FE0B4BD">
      <w:pPr>
        <w:autoSpaceDE w:val="0"/>
        <w:autoSpaceDN w:val="0"/>
        <w:adjustRightInd w:val="0"/>
        <w:spacing w:line="360" w:lineRule="auto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</w:p>
    <w:p w14:paraId="2D31F4B1">
      <w:pPr>
        <w:autoSpaceDE w:val="0"/>
        <w:autoSpaceDN w:val="0"/>
        <w:adjustRightInd w:val="0"/>
        <w:spacing w:line="360" w:lineRule="auto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</w:p>
    <w:p w14:paraId="4A27070A">
      <w:pPr>
        <w:autoSpaceDE w:val="0"/>
        <w:autoSpaceDN w:val="0"/>
        <w:adjustRightInd w:val="0"/>
        <w:spacing w:line="360" w:lineRule="auto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</w:p>
    <w:p w14:paraId="7A759AE1">
      <w:pPr>
        <w:autoSpaceDE w:val="0"/>
        <w:autoSpaceDN w:val="0"/>
        <w:adjustRightInd w:val="0"/>
        <w:spacing w:line="360" w:lineRule="auto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</w:p>
    <w:p w14:paraId="1D0FC184">
      <w:pPr>
        <w:autoSpaceDE w:val="0"/>
        <w:autoSpaceDN w:val="0"/>
        <w:adjustRightInd w:val="0"/>
        <w:spacing w:line="360" w:lineRule="auto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</w:p>
    <w:p w14:paraId="7F55A03F">
      <w:pPr>
        <w:autoSpaceDE w:val="0"/>
        <w:autoSpaceDN w:val="0"/>
        <w:adjustRightInd w:val="0"/>
        <w:spacing w:line="360" w:lineRule="auto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</w:p>
    <w:p w14:paraId="43B93596">
      <w:pPr>
        <w:autoSpaceDE w:val="0"/>
        <w:autoSpaceDN w:val="0"/>
        <w:adjustRightInd w:val="0"/>
        <w:spacing w:line="360" w:lineRule="auto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</w:p>
    <w:p w14:paraId="5CA0EE49">
      <w:pPr>
        <w:autoSpaceDE w:val="0"/>
        <w:autoSpaceDN w:val="0"/>
        <w:adjustRightInd w:val="0"/>
        <w:spacing w:line="360" w:lineRule="auto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 xml:space="preserve">Supplementary Figure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3</w:t>
      </w:r>
    </w:p>
    <w:p w14:paraId="3152D620">
      <w:pPr>
        <w:autoSpaceDE w:val="0"/>
        <w:autoSpaceDN w:val="0"/>
        <w:adjustRightInd w:val="0"/>
        <w:spacing w:line="360" w:lineRule="auto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 xml:space="preserve">(A, B) The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transfection efficiency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assessed by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 xml:space="preserve"> western blot and q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RT-PCR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*</w:t>
      </w:r>
      <w:r>
        <w:rPr>
          <w:rFonts w:hint="default" w:ascii="Times New Roman" w:hAnsi="Times New Roman" w:cs="Times New Roman"/>
          <w:color w:val="auto"/>
          <w:sz w:val="24"/>
          <w:szCs w:val="24"/>
          <w:vertAlign w:val="superscript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 xml:space="preserve">P≤0.05 vs. 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 xml:space="preserve">NC mimics. </w:t>
      </w:r>
      <w:r>
        <w:rPr>
          <w:rFonts w:hint="default" w:ascii="Times New Roman" w:hAnsi="Times New Roman" w:cs="Times New Roman"/>
          <w:color w:val="auto"/>
          <w:sz w:val="24"/>
          <w:szCs w:val="24"/>
          <w:vertAlign w:val="superscript"/>
          <w:lang w:eastAsia="zh-CN"/>
        </w:rPr>
        <w:t>#</w:t>
      </w:r>
      <w:r>
        <w:rPr>
          <w:rFonts w:hint="default" w:ascii="Times New Roman" w:hAnsi="Times New Roman" w:cs="Times New Roman"/>
          <w:color w:val="auto"/>
          <w:sz w:val="24"/>
          <w:szCs w:val="24"/>
          <w:vertAlign w:val="superscript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 xml:space="preserve">P≤0.05 vs. 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 xml:space="preserve">NC inhibitor. (C, D) The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transfection efficiency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 xml:space="preserve"> of pcDNA3.1-stat3 vector and stat3 siRNA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assessed by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 xml:space="preserve"> western blot and q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RT-PCR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).</w:t>
      </w:r>
      <w:r>
        <w:rPr>
          <w:rFonts w:hint="default" w:ascii="Times New Roman" w:hAnsi="Times New Roman" w:cs="Times New Roman"/>
          <w:sz w:val="23"/>
          <w:szCs w:val="23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*</w:t>
      </w:r>
      <w:r>
        <w:rPr>
          <w:rFonts w:hint="default" w:ascii="Times New Roman" w:hAnsi="Times New Roman" w:cs="Times New Roman"/>
          <w:color w:val="auto"/>
          <w:sz w:val="24"/>
          <w:szCs w:val="24"/>
          <w:vertAlign w:val="superscript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 xml:space="preserve">P≤0.05 vs. 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 xml:space="preserve">siNC. </w:t>
      </w:r>
      <w:r>
        <w:rPr>
          <w:rFonts w:hint="default" w:ascii="Times New Roman" w:hAnsi="Times New Roman" w:cs="Times New Roman"/>
          <w:color w:val="auto"/>
          <w:sz w:val="24"/>
          <w:szCs w:val="24"/>
          <w:vertAlign w:val="superscript"/>
          <w:lang w:eastAsia="zh-CN"/>
        </w:rPr>
        <w:t>#</w:t>
      </w:r>
      <w:r>
        <w:rPr>
          <w:rFonts w:hint="default" w:ascii="Times New Roman" w:hAnsi="Times New Roman" w:cs="Times New Roman"/>
          <w:color w:val="auto"/>
          <w:sz w:val="24"/>
          <w:szCs w:val="24"/>
          <w:vertAlign w:val="superscript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 xml:space="preserve">P≤0.05 vs. 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PCDNA3.1 NC.</w:t>
      </w:r>
    </w:p>
    <w:p w14:paraId="16B4436F">
      <w:r>
        <w:rPr>
          <w:rFonts w:hint="default" w:ascii="Times New Roman" w:hAnsi="Times New Roman" w:cs="Times New Roman"/>
          <w:b w:val="0"/>
          <w:bCs/>
          <w:color w:val="auto"/>
          <w:sz w:val="24"/>
          <w:szCs w:val="24"/>
          <w:lang w:val="en-US" w:eastAsia="zh-CN"/>
        </w:rPr>
        <w:drawing>
          <wp:inline distT="0" distB="0" distL="114300" distR="114300">
            <wp:extent cx="5273675" cy="5173980"/>
            <wp:effectExtent l="0" t="0" r="3175" b="7620"/>
            <wp:docPr id="1" name="图片 1" descr="Supplement Fig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 Figure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517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7AA8FB"/>
    <w:multiLevelType w:val="singleLevel"/>
    <w:tmpl w:val="4D7AA8FB"/>
    <w:lvl w:ilvl="0" w:tentative="0">
      <w:start w:val="1"/>
      <w:numFmt w:val="upperLetter"/>
      <w:suff w:val="space"/>
      <w:lvlText w:val="(%1)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wZTlkYmQzODdiMzNiYTJjMTBiYjYyMjg4NzczOTkifQ=="/>
  </w:docVars>
  <w:rsids>
    <w:rsidRoot w:val="7B0D6017"/>
    <w:rsid w:val="7B0D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2024-08-22T01:09:00Z</dcterms:created>
  <dc:creator>68316597</dc:creator>
  <cp:lastModifiedBy>68316597</cp:lastModifiedBy>
  <dcterms:modified xsi:type="dcterms:W3CDTF">2024-08-22T01:42:48Z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51E96E742105485F9F3E55666331FAAA_11</vt:lpwstr>
  </property>
</Properties>
</file>