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D891A" w14:textId="77777777" w:rsidR="00877BC2" w:rsidRPr="00E70EFD" w:rsidRDefault="00877BC2" w:rsidP="00877BC2">
      <w:pPr>
        <w:spacing w:line="480" w:lineRule="auto"/>
        <w:rPr>
          <w:rFonts w:asciiTheme="majorBidi" w:hAnsiTheme="majorBidi" w:cstheme="majorBidi"/>
          <w:b/>
          <w:bCs/>
          <w:sz w:val="20"/>
          <w:szCs w:val="20"/>
          <w:u w:val="single"/>
        </w:rPr>
      </w:pPr>
      <w:r w:rsidRPr="00E70EFD">
        <w:rPr>
          <w:rFonts w:asciiTheme="majorBidi" w:hAnsiTheme="majorBidi" w:cstheme="majorBidi"/>
          <w:b/>
          <w:bCs/>
          <w:sz w:val="20"/>
          <w:szCs w:val="20"/>
          <w:u w:val="single"/>
        </w:rPr>
        <w:t>Supplementary Table 1a:</w:t>
      </w:r>
      <w:r w:rsidRPr="00E70EFD">
        <w:rPr>
          <w:rFonts w:asciiTheme="majorBidi" w:hAnsiTheme="majorBidi" w:cstheme="majorBidi"/>
          <w:b/>
          <w:bCs/>
          <w:sz w:val="20"/>
          <w:szCs w:val="20"/>
          <w:u w:val="single"/>
        </w:rPr>
        <w:fldChar w:fldCharType="begin" w:fldLock="1"/>
      </w:r>
      <w:r w:rsidRPr="00BD0BEC">
        <w:rPr>
          <w:rFonts w:asciiTheme="majorBidi" w:hAnsiTheme="majorBidi" w:cstheme="majorBidi"/>
          <w:b/>
          <w:bCs/>
          <w:sz w:val="20"/>
          <w:szCs w:val="20"/>
          <w:u w:val="single"/>
        </w:rPr>
        <w:instrText>ADDIN CSL_CITATION {"citationItems":[{"id":"ITEM-1","itemData":{"DOI":"10.1002/pbc.29511","ISSN":"1545-5017 (Electronic)","PMID":"35129294","abstract":"Children and adolescents with rhabdomyosarcoma (RMS) comprise a heterogeneous  population with variable overall survival rates ranging between approximately 6% and 100% depending on defined risk factors. Although the risk stratification of patients has been refined across five decades of collaborative group studies, molecular prognostic biomarkers beyond FOXO1 fusion status have yet to be incorporated prospectively in upfront risk-based therapy assignments. This review describes the evolution of risk-based therapy and the current risk stratification, defines a new risk stratification incorporating novel biomarkers, and provides the rationale for the current and upcoming Children's Oncology Group RMS studies.","author":[{"dropping-particle":"","family":"Haduong","given":"Josephine H","non-dropping-particle":"","parse-names":false,"suffix":""},{"dropping-particle":"","family":"Heske","given":"Christine M","non-dropping-particle":"","parse-names":false,"suffix":""},{"dropping-particle":"","family":"Allen-Rhoades","given":"Wendy","non-dropping-particle":"","parse-names":false,"suffix":""},{"dropping-particle":"","family":"Xue","given":"Wei","non-dropping-particle":"","parse-names":false,"suffix":""},{"dropping-particle":"","family":"Teot","given":"Lisa A","non-dropping-particle":"","parse-names":false,"suffix":""},{"dropping-particle":"","family":"Rodeberg","given":"David A","non-dropping-particle":"","parse-names":false,"suffix":""},{"dropping-particle":"","family":"Donaldson","given":"Sarah S","non-dropping-particle":"","parse-names":false,"suffix":""},{"dropping-particle":"","family":"Weiss","given":"Aaron","non-dropping-particle":"","parse-names":false,"suffix":""},{"dropping-particle":"","family":"Hawkins","given":"Douglas S","non-dropping-particle":"","parse-names":false,"suffix":""},{"dropping-particle":"","family":"Venkatramani","given":"Rajkumar","non-dropping-particle":"","parse-names":false,"suffix":""}],"container-title":"Pediatric blood &amp; cancer","id":"ITEM-1","issue":"4","issued":{"date-parts":[["2022","4"]]},"language":"eng","page":"e29511","publisher-place":"United States","title":"An update on rhabdomyosarcoma risk stratification and the rationale for current  and future Children's Oncology Group clinical trials.","type":"article-journal","volume":"69"},"uris":["http://www.mendeley.com/documents/?uuid=f11702d0-9e24-4e0d-b346-fc2b413900ee"]}],"mendeley":{"formattedCitation":"[6]","plainTextFormattedCitation":"[6]","previouslyFormattedCitation":"(Haduong &lt;i&gt;et al.&lt;/i&gt;, 2022)"},"properties":{"noteIndex":0},"schema":"https://github.com/citation-style-language/schema/raw/master/csl-citation.json"}</w:instrText>
      </w:r>
      <w:r w:rsidRPr="00E70EFD">
        <w:rPr>
          <w:rFonts w:asciiTheme="majorBidi" w:hAnsiTheme="majorBidi" w:cstheme="majorBidi"/>
          <w:b/>
          <w:bCs/>
          <w:sz w:val="20"/>
          <w:szCs w:val="20"/>
          <w:u w:val="single"/>
        </w:rPr>
        <w:fldChar w:fldCharType="separate"/>
      </w:r>
      <w:r w:rsidRPr="00BD0BEC">
        <w:rPr>
          <w:rFonts w:asciiTheme="majorBidi" w:hAnsiTheme="majorBidi" w:cstheme="majorBidi"/>
          <w:bCs/>
          <w:noProof/>
          <w:sz w:val="20"/>
          <w:szCs w:val="20"/>
        </w:rPr>
        <w:t>[6]</w:t>
      </w:r>
      <w:r w:rsidRPr="00E70EFD">
        <w:rPr>
          <w:rFonts w:asciiTheme="majorBidi" w:hAnsiTheme="majorBidi" w:cstheme="majorBidi"/>
          <w:sz w:val="20"/>
          <w:szCs w:val="20"/>
        </w:rPr>
        <w:fldChar w:fldCharType="end"/>
      </w:r>
    </w:p>
    <w:p w14:paraId="0D716C50" w14:textId="77777777" w:rsidR="00877BC2" w:rsidRPr="00E70EFD" w:rsidRDefault="00877BC2" w:rsidP="00877BC2">
      <w:pPr>
        <w:spacing w:line="480" w:lineRule="auto"/>
        <w:rPr>
          <w:rFonts w:asciiTheme="majorBidi" w:hAnsiTheme="majorBidi" w:cstheme="majorBidi"/>
          <w:sz w:val="20"/>
          <w:szCs w:val="20"/>
        </w:rPr>
      </w:pPr>
      <w:r w:rsidRPr="00E70EFD">
        <w:rPr>
          <w:rFonts w:asciiTheme="majorBidi" w:hAnsiTheme="majorBidi" w:cstheme="majorBidi"/>
          <w:sz w:val="20"/>
          <w:szCs w:val="20"/>
        </w:rPr>
        <w:t>Rhabdomyosarcoma TNM Staging</w:t>
      </w:r>
      <w:r w:rsidRPr="00BD0BEC">
        <w:rPr>
          <w:rFonts w:asciiTheme="majorBidi" w:hAnsiTheme="majorBidi" w:cstheme="majorBidi"/>
          <w:sz w:val="20"/>
          <w:szCs w:val="20"/>
        </w:rPr>
        <w:t xml:space="preserve">, </w:t>
      </w:r>
      <w:r w:rsidRPr="00E70EFD">
        <w:rPr>
          <w:rFonts w:asciiTheme="majorBidi" w:hAnsiTheme="majorBidi" w:cstheme="majorBidi"/>
          <w:sz w:val="20"/>
          <w:szCs w:val="20"/>
        </w:rPr>
        <w:t>Intergroup Rhabdomyosarcoma Study Clinical Groups</w:t>
      </w:r>
    </w:p>
    <w:tbl>
      <w:tblPr>
        <w:tblStyle w:val="TableGrid"/>
        <w:tblW w:w="9390" w:type="dxa"/>
        <w:tblLook w:val="04A0" w:firstRow="1" w:lastRow="0" w:firstColumn="1" w:lastColumn="0" w:noHBand="0" w:noVBand="1"/>
      </w:tblPr>
      <w:tblGrid>
        <w:gridCol w:w="944"/>
        <w:gridCol w:w="8446"/>
      </w:tblGrid>
      <w:tr w:rsidR="00877BC2" w:rsidRPr="00E70EFD" w14:paraId="1D849825" w14:textId="77777777" w:rsidTr="00804F1C">
        <w:tc>
          <w:tcPr>
            <w:tcW w:w="944" w:type="dxa"/>
            <w:hideMark/>
          </w:tcPr>
          <w:p w14:paraId="5354DF93" w14:textId="77777777" w:rsidR="00877BC2" w:rsidRPr="00E70EFD" w:rsidRDefault="00877BC2" w:rsidP="00804F1C">
            <w:pPr>
              <w:spacing w:after="160"/>
              <w:rPr>
                <w:rFonts w:asciiTheme="majorBidi" w:hAnsiTheme="majorBidi" w:cstheme="majorBidi"/>
                <w:b/>
                <w:bCs/>
                <w:sz w:val="20"/>
                <w:szCs w:val="20"/>
              </w:rPr>
            </w:pPr>
            <w:r w:rsidRPr="00E70EFD">
              <w:rPr>
                <w:rFonts w:asciiTheme="majorBidi" w:hAnsiTheme="majorBidi" w:cstheme="majorBidi"/>
                <w:b/>
                <w:bCs/>
                <w:sz w:val="20"/>
                <w:szCs w:val="20"/>
              </w:rPr>
              <w:t>Group</w:t>
            </w:r>
          </w:p>
        </w:tc>
        <w:tc>
          <w:tcPr>
            <w:tcW w:w="0" w:type="auto"/>
            <w:hideMark/>
          </w:tcPr>
          <w:p w14:paraId="7A11F22D" w14:textId="77777777" w:rsidR="00877BC2" w:rsidRPr="00E70EFD" w:rsidRDefault="00877BC2" w:rsidP="00804F1C">
            <w:pPr>
              <w:spacing w:after="160"/>
              <w:rPr>
                <w:rFonts w:asciiTheme="majorBidi" w:hAnsiTheme="majorBidi" w:cstheme="majorBidi"/>
                <w:b/>
                <w:bCs/>
                <w:sz w:val="20"/>
                <w:szCs w:val="20"/>
              </w:rPr>
            </w:pPr>
            <w:r w:rsidRPr="00E70EFD">
              <w:rPr>
                <w:rFonts w:asciiTheme="majorBidi" w:hAnsiTheme="majorBidi" w:cstheme="majorBidi"/>
                <w:b/>
                <w:bCs/>
                <w:sz w:val="20"/>
                <w:szCs w:val="20"/>
              </w:rPr>
              <w:t>Description</w:t>
            </w:r>
          </w:p>
        </w:tc>
      </w:tr>
      <w:tr w:rsidR="00877BC2" w:rsidRPr="00E70EFD" w14:paraId="436111F3" w14:textId="77777777" w:rsidTr="00804F1C">
        <w:tc>
          <w:tcPr>
            <w:tcW w:w="944" w:type="dxa"/>
            <w:hideMark/>
          </w:tcPr>
          <w:p w14:paraId="02CD7739"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I</w:t>
            </w:r>
          </w:p>
        </w:tc>
        <w:tc>
          <w:tcPr>
            <w:tcW w:w="0" w:type="auto"/>
            <w:hideMark/>
          </w:tcPr>
          <w:p w14:paraId="1F636687"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Localized disease, completely resected (no regional lymph node involvement)</w:t>
            </w:r>
          </w:p>
        </w:tc>
      </w:tr>
      <w:tr w:rsidR="00877BC2" w:rsidRPr="00E70EFD" w14:paraId="37ABA8C6" w14:textId="77777777" w:rsidTr="00804F1C">
        <w:tc>
          <w:tcPr>
            <w:tcW w:w="944" w:type="dxa"/>
            <w:hideMark/>
          </w:tcPr>
          <w:p w14:paraId="7DFA7E00"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II (A-C)</w:t>
            </w:r>
          </w:p>
        </w:tc>
        <w:tc>
          <w:tcPr>
            <w:tcW w:w="0" w:type="auto"/>
            <w:hideMark/>
          </w:tcPr>
          <w:p w14:paraId="0DC0C754"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Localized disease, gross total resection with microscopic positive margins and/or evidence of regional spread</w:t>
            </w:r>
            <w:r w:rsidRPr="00E70EFD">
              <w:rPr>
                <w:rFonts w:asciiTheme="majorBidi" w:hAnsiTheme="majorBidi" w:cstheme="majorBidi"/>
                <w:sz w:val="20"/>
                <w:szCs w:val="20"/>
              </w:rPr>
              <w:br/>
            </w:r>
            <w:r w:rsidRPr="00E70EFD">
              <w:rPr>
                <w:rFonts w:asciiTheme="majorBidi" w:hAnsiTheme="majorBidi" w:cstheme="majorBidi"/>
                <w:sz w:val="20"/>
                <w:szCs w:val="20"/>
              </w:rPr>
              <w:t> </w:t>
            </w:r>
            <w:r w:rsidRPr="00E70EFD">
              <w:rPr>
                <w:rFonts w:asciiTheme="majorBidi" w:hAnsiTheme="majorBidi" w:cstheme="majorBidi"/>
                <w:sz w:val="20"/>
                <w:szCs w:val="20"/>
              </w:rPr>
              <w:t>A. Grossly resected tumor with microscopic residual disease. No evidence of regional node involvement.</w:t>
            </w:r>
            <w:r w:rsidRPr="00E70EFD">
              <w:rPr>
                <w:rFonts w:asciiTheme="majorBidi" w:hAnsiTheme="majorBidi" w:cstheme="majorBidi"/>
                <w:sz w:val="20"/>
                <w:szCs w:val="20"/>
              </w:rPr>
              <w:br/>
            </w:r>
            <w:r w:rsidRPr="00E70EFD">
              <w:rPr>
                <w:rFonts w:asciiTheme="majorBidi" w:hAnsiTheme="majorBidi" w:cstheme="majorBidi"/>
                <w:sz w:val="20"/>
                <w:szCs w:val="20"/>
              </w:rPr>
              <w:t> </w:t>
            </w:r>
            <w:r w:rsidRPr="00E70EFD">
              <w:rPr>
                <w:rFonts w:asciiTheme="majorBidi" w:hAnsiTheme="majorBidi" w:cstheme="majorBidi"/>
                <w:sz w:val="20"/>
                <w:szCs w:val="20"/>
              </w:rPr>
              <w:t>B. Regional disease with involved nodes, completely resected with no microscopic residual disease, including most distal node is histologically negative.</w:t>
            </w:r>
            <w:r w:rsidRPr="00E70EFD">
              <w:rPr>
                <w:rFonts w:asciiTheme="majorBidi" w:hAnsiTheme="majorBidi" w:cstheme="majorBidi"/>
                <w:sz w:val="20"/>
                <w:szCs w:val="20"/>
              </w:rPr>
              <w:br/>
            </w:r>
            <w:r w:rsidRPr="00E70EFD">
              <w:rPr>
                <w:rFonts w:asciiTheme="majorBidi" w:hAnsiTheme="majorBidi" w:cstheme="majorBidi"/>
                <w:sz w:val="20"/>
                <w:szCs w:val="20"/>
              </w:rPr>
              <w:t> </w:t>
            </w:r>
            <w:r w:rsidRPr="00E70EFD">
              <w:rPr>
                <w:rFonts w:asciiTheme="majorBidi" w:hAnsiTheme="majorBidi" w:cstheme="majorBidi"/>
                <w:sz w:val="20"/>
                <w:szCs w:val="20"/>
              </w:rPr>
              <w:t>C. Regional disease with involved nodes, grossly resected, but with evidence of microscopic residual disease and/or histologic involvement of the most distal regional node (from the primary site) in the dissection.</w:t>
            </w:r>
          </w:p>
        </w:tc>
      </w:tr>
      <w:tr w:rsidR="00877BC2" w:rsidRPr="00E70EFD" w14:paraId="14FA4A18" w14:textId="77777777" w:rsidTr="00804F1C">
        <w:tc>
          <w:tcPr>
            <w:tcW w:w="944" w:type="dxa"/>
            <w:hideMark/>
          </w:tcPr>
          <w:p w14:paraId="4F7683CD"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III</w:t>
            </w:r>
          </w:p>
        </w:tc>
        <w:tc>
          <w:tcPr>
            <w:tcW w:w="0" w:type="auto"/>
            <w:hideMark/>
          </w:tcPr>
          <w:p w14:paraId="10AB4171"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Localized disease, incomplete resection with gross residual disease or biopsy only</w:t>
            </w:r>
          </w:p>
        </w:tc>
      </w:tr>
      <w:tr w:rsidR="00877BC2" w:rsidRPr="00E70EFD" w14:paraId="41FF1DD4" w14:textId="77777777" w:rsidTr="00804F1C">
        <w:tc>
          <w:tcPr>
            <w:tcW w:w="944" w:type="dxa"/>
            <w:hideMark/>
          </w:tcPr>
          <w:p w14:paraId="60F93D7A"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IV</w:t>
            </w:r>
          </w:p>
        </w:tc>
        <w:tc>
          <w:tcPr>
            <w:tcW w:w="0" w:type="auto"/>
            <w:hideMark/>
          </w:tcPr>
          <w:p w14:paraId="54B86B74" w14:textId="77777777" w:rsidR="00877BC2" w:rsidRPr="00E70EFD" w:rsidRDefault="00877BC2" w:rsidP="00804F1C">
            <w:pPr>
              <w:spacing w:after="160"/>
              <w:rPr>
                <w:rFonts w:asciiTheme="majorBidi" w:hAnsiTheme="majorBidi" w:cstheme="majorBidi"/>
                <w:sz w:val="20"/>
                <w:szCs w:val="20"/>
              </w:rPr>
            </w:pPr>
            <w:r w:rsidRPr="00E70EFD">
              <w:rPr>
                <w:rFonts w:asciiTheme="majorBidi" w:hAnsiTheme="majorBidi" w:cstheme="majorBidi"/>
                <w:sz w:val="20"/>
                <w:szCs w:val="20"/>
              </w:rPr>
              <w:t>Distant metastatic disease present at onset</w:t>
            </w:r>
          </w:p>
        </w:tc>
      </w:tr>
    </w:tbl>
    <w:p w14:paraId="73281BF0" w14:textId="77777777" w:rsidR="00877BC2" w:rsidRPr="00BD0BEC" w:rsidRDefault="00877BC2" w:rsidP="00877BC2">
      <w:pPr>
        <w:spacing w:line="480" w:lineRule="auto"/>
        <w:rPr>
          <w:rFonts w:asciiTheme="majorBidi" w:hAnsiTheme="majorBidi" w:cstheme="majorBidi"/>
          <w:b/>
          <w:bCs/>
          <w:sz w:val="20"/>
          <w:szCs w:val="20"/>
          <w:u w:val="single"/>
        </w:rPr>
      </w:pPr>
    </w:p>
    <w:p w14:paraId="64C4C2CB" w14:textId="77777777" w:rsidR="00877BC2" w:rsidRPr="00E70EFD" w:rsidRDefault="00877BC2" w:rsidP="00877BC2">
      <w:pPr>
        <w:spacing w:line="480" w:lineRule="auto"/>
        <w:rPr>
          <w:rFonts w:asciiTheme="majorBidi" w:hAnsiTheme="majorBidi" w:cstheme="majorBidi"/>
          <w:b/>
          <w:bCs/>
          <w:sz w:val="20"/>
          <w:szCs w:val="20"/>
          <w:u w:val="single"/>
        </w:rPr>
      </w:pPr>
      <w:r w:rsidRPr="00E70EFD">
        <w:rPr>
          <w:rFonts w:asciiTheme="majorBidi" w:hAnsiTheme="majorBidi" w:cstheme="majorBidi"/>
          <w:b/>
          <w:bCs/>
          <w:sz w:val="20"/>
          <w:szCs w:val="20"/>
          <w:u w:val="single"/>
        </w:rPr>
        <w:t>Supplementary Table 1b:</w:t>
      </w:r>
      <w:r w:rsidRPr="00E70EFD">
        <w:rPr>
          <w:rFonts w:asciiTheme="majorBidi" w:hAnsiTheme="majorBidi" w:cstheme="majorBidi"/>
          <w:b/>
          <w:bCs/>
          <w:sz w:val="20"/>
          <w:szCs w:val="20"/>
          <w:u w:val="single"/>
        </w:rPr>
        <w:fldChar w:fldCharType="begin" w:fldLock="1"/>
      </w:r>
      <w:r w:rsidRPr="00BD0BEC">
        <w:rPr>
          <w:rFonts w:asciiTheme="majorBidi" w:hAnsiTheme="majorBidi" w:cstheme="majorBidi"/>
          <w:b/>
          <w:bCs/>
          <w:sz w:val="20"/>
          <w:szCs w:val="20"/>
          <w:u w:val="single"/>
        </w:rPr>
        <w:instrText>ADDIN CSL_CITATION {"citationItems":[{"id":"ITEM-1","itemData":{"DOI":"10.1002/pbc.29511","ISSN":"1545-5017 (Electronic)","PMID":"35129294","abstract":"Children and adolescents with rhabdomyosarcoma (RMS) comprise a heterogeneous  population with variable overall survival rates ranging between approximately 6% and 100% depending on defined risk factors. Although the risk stratification of patients has been refined across five decades of collaborative group studies, molecular prognostic biomarkers beyond FOXO1 fusion status have yet to be incorporated prospectively in upfront risk-based therapy assignments. This review describes the evolution of risk-based therapy and the current risk stratification, defines a new risk stratification incorporating novel biomarkers, and provides the rationale for the current and upcoming Children's Oncology Group RMS studies.","author":[{"dropping-particle":"","family":"Haduong","given":"Josephine H","non-dropping-particle":"","parse-names":false,"suffix":""},{"dropping-particle":"","family":"Heske","given":"Christine M","non-dropping-particle":"","parse-names":false,"suffix":""},{"dropping-particle":"","family":"Allen-Rhoades","given":"Wendy","non-dropping-particle":"","parse-names":false,"suffix":""},{"dropping-particle":"","family":"Xue","given":"Wei","non-dropping-particle":"","parse-names":false,"suffix":""},{"dropping-particle":"","family":"Teot","given":"Lisa A","non-dropping-particle":"","parse-names":false,"suffix":""},{"dropping-particle":"","family":"Rodeberg","given":"David A","non-dropping-particle":"","parse-names":false,"suffix":""},{"dropping-particle":"","family":"Donaldson","given":"Sarah S","non-dropping-particle":"","parse-names":false,"suffix":""},{"dropping-particle":"","family":"Weiss","given":"Aaron","non-dropping-particle":"","parse-names":false,"suffix":""},{"dropping-particle":"","family":"Hawkins","given":"Douglas S","non-dropping-particle":"","parse-names":false,"suffix":""},{"dropping-particle":"","family":"Venkatramani","given":"Rajkumar","non-dropping-particle":"","parse-names":false,"suffix":""}],"container-title":"Pediatric blood &amp; cancer","id":"ITEM-1","issue":"4","issued":{"date-parts":[["2022","4"]]},"language":"eng","page":"e29511","publisher-place":"United States","title":"An update on rhabdomyosarcoma risk stratification and the rationale for current  and future Children's Oncology Group clinical trials.","type":"article-journal","volume":"69"},"uris":["http://www.mendeley.com/documents/?uuid=f11702d0-9e24-4e0d-b346-fc2b413900ee"]}],"mendeley":{"formattedCitation":"[6]","plainTextFormattedCitation":"[6]","previouslyFormattedCitation":"(Haduong &lt;i&gt;et al.&lt;/i&gt;, 2022)"},"properties":{"noteIndex":0},"schema":"https://github.com/citation-style-language/schema/raw/master/csl-citation.json"}</w:instrText>
      </w:r>
      <w:r w:rsidRPr="00E70EFD">
        <w:rPr>
          <w:rFonts w:asciiTheme="majorBidi" w:hAnsiTheme="majorBidi" w:cstheme="majorBidi"/>
          <w:b/>
          <w:bCs/>
          <w:sz w:val="20"/>
          <w:szCs w:val="20"/>
          <w:u w:val="single"/>
        </w:rPr>
        <w:fldChar w:fldCharType="separate"/>
      </w:r>
      <w:r w:rsidRPr="00BD0BEC">
        <w:rPr>
          <w:rFonts w:asciiTheme="majorBidi" w:hAnsiTheme="majorBidi" w:cstheme="majorBidi"/>
          <w:bCs/>
          <w:noProof/>
          <w:sz w:val="20"/>
          <w:szCs w:val="20"/>
        </w:rPr>
        <w:t>[6]</w:t>
      </w:r>
      <w:r w:rsidRPr="00E70EFD">
        <w:rPr>
          <w:rFonts w:asciiTheme="majorBidi" w:hAnsiTheme="majorBidi" w:cstheme="majorBidi"/>
          <w:sz w:val="20"/>
          <w:szCs w:val="20"/>
        </w:rPr>
        <w:fldChar w:fldCharType="end"/>
      </w:r>
    </w:p>
    <w:tbl>
      <w:tblPr>
        <w:tblStyle w:val="TableGrid"/>
        <w:tblW w:w="0" w:type="auto"/>
        <w:tblLook w:val="04A0" w:firstRow="1" w:lastRow="0" w:firstColumn="1" w:lastColumn="0" w:noHBand="0" w:noVBand="1"/>
      </w:tblPr>
      <w:tblGrid>
        <w:gridCol w:w="684"/>
        <w:gridCol w:w="5699"/>
        <w:gridCol w:w="768"/>
        <w:gridCol w:w="631"/>
        <w:gridCol w:w="1109"/>
        <w:gridCol w:w="459"/>
      </w:tblGrid>
      <w:tr w:rsidR="00877BC2" w:rsidRPr="00E70EFD" w14:paraId="02B35232" w14:textId="77777777" w:rsidTr="00804F1C">
        <w:tc>
          <w:tcPr>
            <w:tcW w:w="0" w:type="auto"/>
            <w:hideMark/>
          </w:tcPr>
          <w:p w14:paraId="6B71C248"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Stage</w:t>
            </w:r>
          </w:p>
        </w:tc>
        <w:tc>
          <w:tcPr>
            <w:tcW w:w="0" w:type="auto"/>
            <w:hideMark/>
          </w:tcPr>
          <w:p w14:paraId="06372A83"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Site</w:t>
            </w:r>
          </w:p>
        </w:tc>
        <w:tc>
          <w:tcPr>
            <w:tcW w:w="0" w:type="auto"/>
            <w:hideMark/>
          </w:tcPr>
          <w:p w14:paraId="0D669BDD"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T</w:t>
            </w:r>
          </w:p>
        </w:tc>
        <w:tc>
          <w:tcPr>
            <w:tcW w:w="0" w:type="auto"/>
            <w:hideMark/>
          </w:tcPr>
          <w:p w14:paraId="34763092"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Size</w:t>
            </w:r>
          </w:p>
        </w:tc>
        <w:tc>
          <w:tcPr>
            <w:tcW w:w="0" w:type="auto"/>
            <w:hideMark/>
          </w:tcPr>
          <w:p w14:paraId="35322F3A"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N</w:t>
            </w:r>
          </w:p>
        </w:tc>
        <w:tc>
          <w:tcPr>
            <w:tcW w:w="0" w:type="auto"/>
            <w:hideMark/>
          </w:tcPr>
          <w:p w14:paraId="614A83E8"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M</w:t>
            </w:r>
          </w:p>
        </w:tc>
      </w:tr>
      <w:tr w:rsidR="00877BC2" w:rsidRPr="00E70EFD" w14:paraId="1D2C7666" w14:textId="77777777" w:rsidTr="00804F1C">
        <w:tc>
          <w:tcPr>
            <w:tcW w:w="0" w:type="auto"/>
            <w:hideMark/>
          </w:tcPr>
          <w:p w14:paraId="346505C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1</w:t>
            </w:r>
          </w:p>
        </w:tc>
        <w:tc>
          <w:tcPr>
            <w:tcW w:w="0" w:type="auto"/>
            <w:hideMark/>
          </w:tcPr>
          <w:p w14:paraId="229AA2C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 xml:space="preserve">Orbit, Head and neck (excluding </w:t>
            </w:r>
            <w:proofErr w:type="spellStart"/>
            <w:r w:rsidRPr="00E70EFD">
              <w:rPr>
                <w:rFonts w:asciiTheme="majorBidi" w:hAnsiTheme="majorBidi" w:cstheme="majorBidi"/>
                <w:sz w:val="20"/>
                <w:szCs w:val="20"/>
              </w:rPr>
              <w:t>parameningeal</w:t>
            </w:r>
            <w:proofErr w:type="spellEnd"/>
            <w:r w:rsidRPr="00E70EFD">
              <w:rPr>
                <w:rFonts w:asciiTheme="majorBidi" w:hAnsiTheme="majorBidi" w:cstheme="majorBidi"/>
                <w:sz w:val="20"/>
                <w:szCs w:val="20"/>
              </w:rPr>
              <w:t>), GU – non-bladder/ non-prostate,</w:t>
            </w:r>
          </w:p>
        </w:tc>
        <w:tc>
          <w:tcPr>
            <w:tcW w:w="0" w:type="auto"/>
            <w:hideMark/>
          </w:tcPr>
          <w:p w14:paraId="216422E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T</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or T</w:t>
            </w:r>
            <w:r w:rsidRPr="00E70EFD">
              <w:rPr>
                <w:rFonts w:asciiTheme="majorBidi" w:hAnsiTheme="majorBidi" w:cstheme="majorBidi"/>
                <w:sz w:val="20"/>
                <w:szCs w:val="20"/>
                <w:vertAlign w:val="subscript"/>
              </w:rPr>
              <w:t>2</w:t>
            </w:r>
          </w:p>
        </w:tc>
        <w:tc>
          <w:tcPr>
            <w:tcW w:w="0" w:type="auto"/>
            <w:hideMark/>
          </w:tcPr>
          <w:p w14:paraId="199B097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 or b</w:t>
            </w:r>
          </w:p>
        </w:tc>
        <w:tc>
          <w:tcPr>
            <w:tcW w:w="0" w:type="auto"/>
            <w:hideMark/>
          </w:tcPr>
          <w:p w14:paraId="6BC74AD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0</w:t>
            </w:r>
            <w:r w:rsidRPr="00E70EFD">
              <w:rPr>
                <w:rFonts w:asciiTheme="majorBidi" w:hAnsiTheme="majorBidi" w:cstheme="majorBidi"/>
                <w:sz w:val="20"/>
                <w:szCs w:val="20"/>
              </w:rPr>
              <w:t> or N</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xml:space="preserve"> or </w:t>
            </w:r>
            <w:proofErr w:type="spellStart"/>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x</w:t>
            </w:r>
            <w:proofErr w:type="spellEnd"/>
          </w:p>
        </w:tc>
        <w:tc>
          <w:tcPr>
            <w:tcW w:w="0" w:type="auto"/>
            <w:hideMark/>
          </w:tcPr>
          <w:p w14:paraId="578ED273"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M</w:t>
            </w:r>
            <w:r w:rsidRPr="00E70EFD">
              <w:rPr>
                <w:rFonts w:asciiTheme="majorBidi" w:hAnsiTheme="majorBidi" w:cstheme="majorBidi"/>
                <w:sz w:val="20"/>
                <w:szCs w:val="20"/>
                <w:vertAlign w:val="subscript"/>
              </w:rPr>
              <w:t>0</w:t>
            </w:r>
          </w:p>
        </w:tc>
      </w:tr>
      <w:tr w:rsidR="00877BC2" w:rsidRPr="00E70EFD" w14:paraId="2FB31FFE" w14:textId="77777777" w:rsidTr="00804F1C">
        <w:tc>
          <w:tcPr>
            <w:tcW w:w="0" w:type="auto"/>
            <w:hideMark/>
          </w:tcPr>
          <w:p w14:paraId="4DC6DAC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2</w:t>
            </w:r>
          </w:p>
        </w:tc>
        <w:tc>
          <w:tcPr>
            <w:tcW w:w="0" w:type="auto"/>
            <w:hideMark/>
          </w:tcPr>
          <w:p w14:paraId="60C304B0"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 xml:space="preserve">Bladder/Prostate, Extremity, Cranial </w:t>
            </w:r>
            <w:proofErr w:type="spellStart"/>
            <w:r w:rsidRPr="00E70EFD">
              <w:rPr>
                <w:rFonts w:asciiTheme="majorBidi" w:hAnsiTheme="majorBidi" w:cstheme="majorBidi"/>
                <w:sz w:val="20"/>
                <w:szCs w:val="20"/>
              </w:rPr>
              <w:t>parameningeal</w:t>
            </w:r>
            <w:proofErr w:type="spellEnd"/>
            <w:r w:rsidRPr="00E70EFD">
              <w:rPr>
                <w:rFonts w:asciiTheme="majorBidi" w:hAnsiTheme="majorBidi" w:cstheme="majorBidi"/>
                <w:sz w:val="20"/>
                <w:szCs w:val="20"/>
              </w:rPr>
              <w:t>, Other</w:t>
            </w:r>
            <w:r w:rsidRPr="00E70EFD">
              <w:rPr>
                <w:rFonts w:asciiTheme="majorBidi" w:hAnsiTheme="majorBidi" w:cstheme="majorBidi"/>
                <w:sz w:val="20"/>
                <w:szCs w:val="20"/>
                <w:vertAlign w:val="superscript"/>
              </w:rPr>
              <w:t>*</w:t>
            </w:r>
            <w:r w:rsidRPr="00E70EFD">
              <w:rPr>
                <w:rFonts w:asciiTheme="majorBidi" w:hAnsiTheme="majorBidi" w:cstheme="majorBidi"/>
                <w:sz w:val="20"/>
                <w:szCs w:val="20"/>
              </w:rPr>
              <w:t> (includes trunk, retroperitoneum, etc.)</w:t>
            </w:r>
          </w:p>
        </w:tc>
        <w:tc>
          <w:tcPr>
            <w:tcW w:w="0" w:type="auto"/>
            <w:hideMark/>
          </w:tcPr>
          <w:p w14:paraId="3497C754"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T</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or T</w:t>
            </w:r>
            <w:r w:rsidRPr="00E70EFD">
              <w:rPr>
                <w:rFonts w:asciiTheme="majorBidi" w:hAnsiTheme="majorBidi" w:cstheme="majorBidi"/>
                <w:sz w:val="20"/>
                <w:szCs w:val="20"/>
                <w:vertAlign w:val="subscript"/>
              </w:rPr>
              <w:t>2</w:t>
            </w:r>
          </w:p>
        </w:tc>
        <w:tc>
          <w:tcPr>
            <w:tcW w:w="0" w:type="auto"/>
            <w:hideMark/>
          </w:tcPr>
          <w:p w14:paraId="3DC6B0DD"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w:t>
            </w:r>
          </w:p>
        </w:tc>
        <w:tc>
          <w:tcPr>
            <w:tcW w:w="0" w:type="auto"/>
            <w:hideMark/>
          </w:tcPr>
          <w:p w14:paraId="0A7BF5D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0</w:t>
            </w:r>
            <w:r w:rsidRPr="00E70EFD">
              <w:rPr>
                <w:rFonts w:asciiTheme="majorBidi" w:hAnsiTheme="majorBidi" w:cstheme="majorBidi"/>
                <w:sz w:val="20"/>
                <w:szCs w:val="20"/>
              </w:rPr>
              <w:t xml:space="preserve"> or </w:t>
            </w:r>
            <w:proofErr w:type="spellStart"/>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x</w:t>
            </w:r>
            <w:proofErr w:type="spellEnd"/>
          </w:p>
        </w:tc>
        <w:tc>
          <w:tcPr>
            <w:tcW w:w="0" w:type="auto"/>
            <w:hideMark/>
          </w:tcPr>
          <w:p w14:paraId="5092EDA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M</w:t>
            </w:r>
            <w:r w:rsidRPr="00E70EFD">
              <w:rPr>
                <w:rFonts w:asciiTheme="majorBidi" w:hAnsiTheme="majorBidi" w:cstheme="majorBidi"/>
                <w:sz w:val="20"/>
                <w:szCs w:val="20"/>
                <w:vertAlign w:val="subscript"/>
              </w:rPr>
              <w:t>0</w:t>
            </w:r>
          </w:p>
        </w:tc>
      </w:tr>
      <w:tr w:rsidR="00877BC2" w:rsidRPr="00E70EFD" w14:paraId="31F3B72C" w14:textId="77777777" w:rsidTr="00804F1C">
        <w:tc>
          <w:tcPr>
            <w:tcW w:w="0" w:type="auto"/>
            <w:hideMark/>
          </w:tcPr>
          <w:p w14:paraId="05DF195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3</w:t>
            </w:r>
          </w:p>
        </w:tc>
        <w:tc>
          <w:tcPr>
            <w:tcW w:w="0" w:type="auto"/>
            <w:hideMark/>
          </w:tcPr>
          <w:p w14:paraId="5ADBA55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 xml:space="preserve">Bladder/Prostate, Extremity, Cranial </w:t>
            </w:r>
            <w:proofErr w:type="spellStart"/>
            <w:r w:rsidRPr="00E70EFD">
              <w:rPr>
                <w:rFonts w:asciiTheme="majorBidi" w:hAnsiTheme="majorBidi" w:cstheme="majorBidi"/>
                <w:sz w:val="20"/>
                <w:szCs w:val="20"/>
              </w:rPr>
              <w:t>parameningeal</w:t>
            </w:r>
            <w:proofErr w:type="spellEnd"/>
            <w:r w:rsidRPr="00E70EFD">
              <w:rPr>
                <w:rFonts w:asciiTheme="majorBidi" w:hAnsiTheme="majorBidi" w:cstheme="majorBidi"/>
                <w:sz w:val="20"/>
                <w:szCs w:val="20"/>
              </w:rPr>
              <w:t>, Other (includes trunk, retroperitoneum, etc.)</w:t>
            </w:r>
          </w:p>
        </w:tc>
        <w:tc>
          <w:tcPr>
            <w:tcW w:w="0" w:type="auto"/>
            <w:hideMark/>
          </w:tcPr>
          <w:p w14:paraId="37632E8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T</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or T</w:t>
            </w:r>
            <w:r w:rsidRPr="00E70EFD">
              <w:rPr>
                <w:rFonts w:asciiTheme="majorBidi" w:hAnsiTheme="majorBidi" w:cstheme="majorBidi"/>
                <w:sz w:val="20"/>
                <w:szCs w:val="20"/>
                <w:vertAlign w:val="subscript"/>
              </w:rPr>
              <w:t>2</w:t>
            </w:r>
          </w:p>
        </w:tc>
        <w:tc>
          <w:tcPr>
            <w:tcW w:w="0" w:type="auto"/>
            <w:hideMark/>
          </w:tcPr>
          <w:p w14:paraId="72FC0FA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w:t>
            </w:r>
            <w:r w:rsidRPr="00E70EFD">
              <w:rPr>
                <w:rFonts w:asciiTheme="majorBidi" w:hAnsiTheme="majorBidi" w:cstheme="majorBidi"/>
                <w:sz w:val="20"/>
                <w:szCs w:val="20"/>
              </w:rPr>
              <w:br/>
              <w:t>b</w:t>
            </w:r>
          </w:p>
        </w:tc>
        <w:tc>
          <w:tcPr>
            <w:tcW w:w="0" w:type="auto"/>
            <w:hideMark/>
          </w:tcPr>
          <w:p w14:paraId="4AF0B4F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br/>
              <w:t>N</w:t>
            </w:r>
            <w:r w:rsidRPr="00E70EFD">
              <w:rPr>
                <w:rFonts w:asciiTheme="majorBidi" w:hAnsiTheme="majorBidi" w:cstheme="majorBidi"/>
                <w:sz w:val="20"/>
                <w:szCs w:val="20"/>
                <w:vertAlign w:val="subscript"/>
              </w:rPr>
              <w:t>0</w:t>
            </w:r>
            <w:r w:rsidRPr="00E70EFD">
              <w:rPr>
                <w:rFonts w:asciiTheme="majorBidi" w:hAnsiTheme="majorBidi" w:cstheme="majorBidi"/>
                <w:sz w:val="20"/>
                <w:szCs w:val="20"/>
              </w:rPr>
              <w:t> or N</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xml:space="preserve"> or </w:t>
            </w:r>
            <w:proofErr w:type="spellStart"/>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x</w:t>
            </w:r>
            <w:proofErr w:type="spellEnd"/>
          </w:p>
        </w:tc>
        <w:tc>
          <w:tcPr>
            <w:tcW w:w="0" w:type="auto"/>
            <w:hideMark/>
          </w:tcPr>
          <w:p w14:paraId="0F5B05A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M</w:t>
            </w:r>
            <w:r w:rsidRPr="00E70EFD">
              <w:rPr>
                <w:rFonts w:asciiTheme="majorBidi" w:hAnsiTheme="majorBidi" w:cstheme="majorBidi"/>
                <w:sz w:val="20"/>
                <w:szCs w:val="20"/>
                <w:vertAlign w:val="subscript"/>
              </w:rPr>
              <w:t>0</w:t>
            </w:r>
            <w:r w:rsidRPr="00E70EFD">
              <w:rPr>
                <w:rFonts w:asciiTheme="majorBidi" w:hAnsiTheme="majorBidi" w:cstheme="majorBidi"/>
                <w:sz w:val="20"/>
                <w:szCs w:val="20"/>
              </w:rPr>
              <w:br/>
            </w:r>
            <w:proofErr w:type="spellStart"/>
            <w:r w:rsidRPr="00E70EFD">
              <w:rPr>
                <w:rFonts w:asciiTheme="majorBidi" w:hAnsiTheme="majorBidi" w:cstheme="majorBidi"/>
                <w:sz w:val="20"/>
                <w:szCs w:val="20"/>
              </w:rPr>
              <w:t>M</w:t>
            </w:r>
            <w:r w:rsidRPr="00E70EFD">
              <w:rPr>
                <w:rFonts w:asciiTheme="majorBidi" w:hAnsiTheme="majorBidi" w:cstheme="majorBidi"/>
                <w:sz w:val="20"/>
                <w:szCs w:val="20"/>
                <w:vertAlign w:val="subscript"/>
              </w:rPr>
              <w:t>0</w:t>
            </w:r>
            <w:proofErr w:type="spellEnd"/>
          </w:p>
        </w:tc>
      </w:tr>
      <w:tr w:rsidR="00877BC2" w:rsidRPr="00E70EFD" w14:paraId="2BA70F6B" w14:textId="77777777" w:rsidTr="00804F1C">
        <w:tc>
          <w:tcPr>
            <w:tcW w:w="0" w:type="auto"/>
            <w:hideMark/>
          </w:tcPr>
          <w:p w14:paraId="6DC6E9F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4</w:t>
            </w:r>
          </w:p>
        </w:tc>
        <w:tc>
          <w:tcPr>
            <w:tcW w:w="0" w:type="auto"/>
            <w:hideMark/>
          </w:tcPr>
          <w:p w14:paraId="030AF13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All</w:t>
            </w:r>
          </w:p>
        </w:tc>
        <w:tc>
          <w:tcPr>
            <w:tcW w:w="0" w:type="auto"/>
            <w:hideMark/>
          </w:tcPr>
          <w:p w14:paraId="55D58DB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T</w:t>
            </w:r>
            <w:r w:rsidRPr="00E70EFD">
              <w:rPr>
                <w:rFonts w:asciiTheme="majorBidi" w:hAnsiTheme="majorBidi" w:cstheme="majorBidi"/>
                <w:sz w:val="20"/>
                <w:szCs w:val="20"/>
                <w:vertAlign w:val="subscript"/>
              </w:rPr>
              <w:t>1</w:t>
            </w:r>
            <w:r w:rsidRPr="00E70EFD">
              <w:rPr>
                <w:rFonts w:asciiTheme="majorBidi" w:hAnsiTheme="majorBidi" w:cstheme="majorBidi"/>
                <w:sz w:val="20"/>
                <w:szCs w:val="20"/>
              </w:rPr>
              <w:t> or T</w:t>
            </w:r>
            <w:r w:rsidRPr="00E70EFD">
              <w:rPr>
                <w:rFonts w:asciiTheme="majorBidi" w:hAnsiTheme="majorBidi" w:cstheme="majorBidi"/>
                <w:sz w:val="20"/>
                <w:szCs w:val="20"/>
                <w:vertAlign w:val="subscript"/>
              </w:rPr>
              <w:t>2</w:t>
            </w:r>
          </w:p>
        </w:tc>
        <w:tc>
          <w:tcPr>
            <w:tcW w:w="0" w:type="auto"/>
            <w:hideMark/>
          </w:tcPr>
          <w:p w14:paraId="7CA9CC04"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 or b</w:t>
            </w:r>
          </w:p>
        </w:tc>
        <w:tc>
          <w:tcPr>
            <w:tcW w:w="0" w:type="auto"/>
            <w:hideMark/>
          </w:tcPr>
          <w:p w14:paraId="1904AAF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N</w:t>
            </w:r>
            <w:r w:rsidRPr="00E70EFD">
              <w:rPr>
                <w:rFonts w:asciiTheme="majorBidi" w:hAnsiTheme="majorBidi" w:cstheme="majorBidi"/>
                <w:sz w:val="20"/>
                <w:szCs w:val="20"/>
                <w:vertAlign w:val="subscript"/>
              </w:rPr>
              <w:t>0</w:t>
            </w:r>
            <w:r w:rsidRPr="00E70EFD">
              <w:rPr>
                <w:rFonts w:asciiTheme="majorBidi" w:hAnsiTheme="majorBidi" w:cstheme="majorBidi"/>
                <w:sz w:val="20"/>
                <w:szCs w:val="20"/>
              </w:rPr>
              <w:t> or N</w:t>
            </w:r>
            <w:r w:rsidRPr="00E70EFD">
              <w:rPr>
                <w:rFonts w:asciiTheme="majorBidi" w:hAnsiTheme="majorBidi" w:cstheme="majorBidi"/>
                <w:sz w:val="20"/>
                <w:szCs w:val="20"/>
                <w:vertAlign w:val="subscript"/>
              </w:rPr>
              <w:t>1</w:t>
            </w:r>
          </w:p>
        </w:tc>
        <w:tc>
          <w:tcPr>
            <w:tcW w:w="0" w:type="auto"/>
            <w:hideMark/>
          </w:tcPr>
          <w:p w14:paraId="631EB23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M</w:t>
            </w:r>
            <w:r w:rsidRPr="00E70EFD">
              <w:rPr>
                <w:rFonts w:asciiTheme="majorBidi" w:hAnsiTheme="majorBidi" w:cstheme="majorBidi"/>
                <w:sz w:val="20"/>
                <w:szCs w:val="20"/>
                <w:vertAlign w:val="subscript"/>
              </w:rPr>
              <w:t>1</w:t>
            </w:r>
          </w:p>
        </w:tc>
      </w:tr>
    </w:tbl>
    <w:p w14:paraId="43073AE3" w14:textId="77777777" w:rsidR="00877BC2" w:rsidRPr="00E70EFD" w:rsidRDefault="00877BC2" w:rsidP="00877BC2">
      <w:pPr>
        <w:spacing w:line="480" w:lineRule="auto"/>
        <w:rPr>
          <w:rFonts w:asciiTheme="majorBidi" w:hAnsiTheme="majorBidi" w:cstheme="majorBidi"/>
          <w:i/>
          <w:iCs/>
          <w:sz w:val="20"/>
          <w:szCs w:val="20"/>
        </w:rPr>
      </w:pPr>
      <w:r w:rsidRPr="00E70EFD">
        <w:rPr>
          <w:rFonts w:asciiTheme="majorBidi" w:hAnsiTheme="majorBidi" w:cstheme="majorBidi"/>
          <w:i/>
          <w:iCs/>
          <w:sz w:val="20"/>
          <w:szCs w:val="20"/>
          <w:vertAlign w:val="superscript"/>
        </w:rPr>
        <w:t>*</w:t>
      </w:r>
      <w:r w:rsidRPr="00E70EFD">
        <w:rPr>
          <w:rFonts w:asciiTheme="majorBidi" w:hAnsiTheme="majorBidi" w:cstheme="majorBidi"/>
          <w:i/>
          <w:iCs/>
          <w:sz w:val="20"/>
          <w:szCs w:val="20"/>
        </w:rPr>
        <w:t>Biliary tract/liver will be considered unfavorable site in future COG clinical trials. Tumor (T): T(site)</w:t>
      </w:r>
      <w:r w:rsidRPr="00E70EFD">
        <w:rPr>
          <w:rFonts w:asciiTheme="majorBidi" w:hAnsiTheme="majorBidi" w:cstheme="majorBidi"/>
          <w:i/>
          <w:iCs/>
          <w:sz w:val="20"/>
          <w:szCs w:val="20"/>
          <w:vertAlign w:val="subscript"/>
        </w:rPr>
        <w:t>1</w:t>
      </w:r>
      <w:r w:rsidRPr="00E70EFD">
        <w:rPr>
          <w:rFonts w:asciiTheme="majorBidi" w:hAnsiTheme="majorBidi" w:cstheme="majorBidi"/>
          <w:i/>
          <w:iCs/>
          <w:sz w:val="20"/>
          <w:szCs w:val="20"/>
        </w:rPr>
        <w:t> – confined to anatomic site of origin. a. ≤5cm in diameter in size. b. &gt;5cm in diameter in size. T(site)</w:t>
      </w:r>
      <w:r w:rsidRPr="00E70EFD">
        <w:rPr>
          <w:rFonts w:asciiTheme="majorBidi" w:hAnsiTheme="majorBidi" w:cstheme="majorBidi"/>
          <w:i/>
          <w:iCs/>
          <w:sz w:val="20"/>
          <w:szCs w:val="20"/>
          <w:vertAlign w:val="subscript"/>
        </w:rPr>
        <w:t>2</w:t>
      </w:r>
      <w:r w:rsidRPr="00E70EFD">
        <w:rPr>
          <w:rFonts w:asciiTheme="majorBidi" w:hAnsiTheme="majorBidi" w:cstheme="majorBidi"/>
          <w:i/>
          <w:iCs/>
          <w:sz w:val="20"/>
          <w:szCs w:val="20"/>
        </w:rPr>
        <w:t> – confined to anatomic site of origin. a. ≤5cm in diameter in size. b. &gt;5cm in diameter in size. Regional Nodes (N</w:t>
      </w:r>
      <w:proofErr w:type="gramStart"/>
      <w:r w:rsidRPr="00E70EFD">
        <w:rPr>
          <w:rFonts w:asciiTheme="majorBidi" w:hAnsiTheme="majorBidi" w:cstheme="majorBidi"/>
          <w:i/>
          <w:iCs/>
          <w:sz w:val="20"/>
          <w:szCs w:val="20"/>
        </w:rPr>
        <w:t>):.</w:t>
      </w:r>
      <w:proofErr w:type="gramEnd"/>
      <w:r w:rsidRPr="00E70EFD">
        <w:rPr>
          <w:rFonts w:asciiTheme="majorBidi" w:hAnsiTheme="majorBidi" w:cstheme="majorBidi"/>
          <w:i/>
          <w:iCs/>
          <w:sz w:val="20"/>
          <w:szCs w:val="20"/>
        </w:rPr>
        <w:t xml:space="preserve"> N</w:t>
      </w:r>
      <w:r w:rsidRPr="00E70EFD">
        <w:rPr>
          <w:rFonts w:asciiTheme="majorBidi" w:hAnsiTheme="majorBidi" w:cstheme="majorBidi"/>
          <w:i/>
          <w:iCs/>
          <w:sz w:val="20"/>
          <w:szCs w:val="20"/>
          <w:vertAlign w:val="subscript"/>
        </w:rPr>
        <w:t>0</w:t>
      </w:r>
      <w:r w:rsidRPr="00E70EFD">
        <w:rPr>
          <w:rFonts w:asciiTheme="majorBidi" w:hAnsiTheme="majorBidi" w:cstheme="majorBidi"/>
          <w:i/>
          <w:iCs/>
          <w:sz w:val="20"/>
          <w:szCs w:val="20"/>
        </w:rPr>
        <w:t>: Regional nodes not clinically involved. N</w:t>
      </w:r>
      <w:r w:rsidRPr="00E70EFD">
        <w:rPr>
          <w:rFonts w:asciiTheme="majorBidi" w:hAnsiTheme="majorBidi" w:cstheme="majorBidi"/>
          <w:i/>
          <w:iCs/>
          <w:sz w:val="20"/>
          <w:szCs w:val="20"/>
          <w:vertAlign w:val="subscript"/>
        </w:rPr>
        <w:t>1</w:t>
      </w:r>
      <w:r w:rsidRPr="00E70EFD">
        <w:rPr>
          <w:rFonts w:asciiTheme="majorBidi" w:hAnsiTheme="majorBidi" w:cstheme="majorBidi"/>
          <w:i/>
          <w:iCs/>
          <w:sz w:val="20"/>
          <w:szCs w:val="20"/>
        </w:rPr>
        <w:t xml:space="preserve">: Regional nodes clinically involved by neoplasm defined as &gt;1cm by CT or MRI. </w:t>
      </w:r>
      <w:proofErr w:type="spellStart"/>
      <w:r w:rsidRPr="00E70EFD">
        <w:rPr>
          <w:rFonts w:asciiTheme="majorBidi" w:hAnsiTheme="majorBidi" w:cstheme="majorBidi"/>
          <w:i/>
          <w:iCs/>
          <w:sz w:val="20"/>
          <w:szCs w:val="20"/>
        </w:rPr>
        <w:t>N</w:t>
      </w:r>
      <w:r w:rsidRPr="00E70EFD">
        <w:rPr>
          <w:rFonts w:asciiTheme="majorBidi" w:hAnsiTheme="majorBidi" w:cstheme="majorBidi"/>
          <w:i/>
          <w:iCs/>
          <w:sz w:val="20"/>
          <w:szCs w:val="20"/>
          <w:vertAlign w:val="subscript"/>
        </w:rPr>
        <w:t>x</w:t>
      </w:r>
      <w:proofErr w:type="spellEnd"/>
      <w:r w:rsidRPr="00E70EFD">
        <w:rPr>
          <w:rFonts w:asciiTheme="majorBidi" w:hAnsiTheme="majorBidi" w:cstheme="majorBidi"/>
          <w:i/>
          <w:iCs/>
          <w:sz w:val="20"/>
          <w:szCs w:val="20"/>
        </w:rPr>
        <w:t>: Clinical status of regional nodes unknown (especially sites that preclude lymph node evaluation). Metastasis (M):M</w:t>
      </w:r>
      <w:r w:rsidRPr="00E70EFD">
        <w:rPr>
          <w:rFonts w:asciiTheme="majorBidi" w:hAnsiTheme="majorBidi" w:cstheme="majorBidi"/>
          <w:i/>
          <w:iCs/>
          <w:sz w:val="20"/>
          <w:szCs w:val="20"/>
          <w:vertAlign w:val="subscript"/>
        </w:rPr>
        <w:t>0</w:t>
      </w:r>
      <w:r w:rsidRPr="00E70EFD">
        <w:rPr>
          <w:rFonts w:asciiTheme="majorBidi" w:hAnsiTheme="majorBidi" w:cstheme="majorBidi"/>
          <w:i/>
          <w:iCs/>
          <w:sz w:val="20"/>
          <w:szCs w:val="20"/>
        </w:rPr>
        <w:t>: No distant metastasis. M</w:t>
      </w:r>
      <w:r w:rsidRPr="00E70EFD">
        <w:rPr>
          <w:rFonts w:asciiTheme="majorBidi" w:hAnsiTheme="majorBidi" w:cstheme="majorBidi"/>
          <w:i/>
          <w:iCs/>
          <w:sz w:val="20"/>
          <w:szCs w:val="20"/>
          <w:vertAlign w:val="subscript"/>
        </w:rPr>
        <w:t>1</w:t>
      </w:r>
      <w:r w:rsidRPr="00E70EFD">
        <w:rPr>
          <w:rFonts w:asciiTheme="majorBidi" w:hAnsiTheme="majorBidi" w:cstheme="majorBidi"/>
          <w:i/>
          <w:iCs/>
          <w:sz w:val="20"/>
          <w:szCs w:val="20"/>
        </w:rPr>
        <w:t>: Distant metastasis present</w:t>
      </w:r>
    </w:p>
    <w:p w14:paraId="076AE717" w14:textId="77777777" w:rsidR="00877BC2" w:rsidRPr="00E70EFD" w:rsidRDefault="00877BC2" w:rsidP="00877BC2">
      <w:pPr>
        <w:spacing w:line="480" w:lineRule="auto"/>
        <w:rPr>
          <w:rFonts w:asciiTheme="majorBidi" w:hAnsiTheme="majorBidi" w:cstheme="majorBidi"/>
          <w:sz w:val="20"/>
          <w:szCs w:val="20"/>
        </w:rPr>
      </w:pPr>
    </w:p>
    <w:p w14:paraId="2B3021EB" w14:textId="77777777" w:rsidR="00877BC2" w:rsidRPr="00E70EFD" w:rsidRDefault="00877BC2" w:rsidP="00877BC2">
      <w:pPr>
        <w:spacing w:line="480" w:lineRule="auto"/>
        <w:rPr>
          <w:rFonts w:asciiTheme="majorBidi" w:hAnsiTheme="majorBidi" w:cstheme="majorBidi"/>
          <w:sz w:val="20"/>
          <w:szCs w:val="20"/>
        </w:rPr>
      </w:pPr>
    </w:p>
    <w:p w14:paraId="7091EF90" w14:textId="77777777" w:rsidR="00877BC2" w:rsidRPr="00E70EFD" w:rsidRDefault="00877BC2" w:rsidP="00877BC2">
      <w:pPr>
        <w:spacing w:line="480" w:lineRule="auto"/>
        <w:rPr>
          <w:rFonts w:asciiTheme="majorBidi" w:hAnsiTheme="majorBidi" w:cstheme="majorBidi"/>
          <w:sz w:val="20"/>
          <w:szCs w:val="20"/>
        </w:rPr>
      </w:pPr>
      <w:r w:rsidRPr="00E70EFD">
        <w:rPr>
          <w:rFonts w:asciiTheme="majorBidi" w:hAnsiTheme="majorBidi" w:cstheme="majorBidi"/>
          <w:b/>
          <w:bCs/>
          <w:sz w:val="20"/>
          <w:szCs w:val="20"/>
          <w:u w:val="single"/>
        </w:rPr>
        <w:lastRenderedPageBreak/>
        <w:t>Supplementary Table 1c:</w:t>
      </w:r>
      <w:r w:rsidRPr="00E70EFD">
        <w:rPr>
          <w:rFonts w:asciiTheme="majorBidi" w:hAnsiTheme="majorBidi" w:cstheme="majorBidi"/>
          <w:b/>
          <w:bCs/>
          <w:sz w:val="20"/>
          <w:szCs w:val="20"/>
          <w:u w:val="single"/>
        </w:rPr>
        <w:fldChar w:fldCharType="begin" w:fldLock="1"/>
      </w:r>
      <w:r w:rsidRPr="00BD0BEC">
        <w:rPr>
          <w:rFonts w:asciiTheme="majorBidi" w:hAnsiTheme="majorBidi" w:cstheme="majorBidi"/>
          <w:b/>
          <w:bCs/>
          <w:sz w:val="20"/>
          <w:szCs w:val="20"/>
          <w:u w:val="single"/>
        </w:rPr>
        <w:instrText>ADDIN CSL_CITATION {"citationItems":[{"id":"ITEM-1","itemData":{"DOI":"10.1002/pbc.29511","ISSN":"1545-5017 (Electronic)","PMID":"35129294","abstract":"Children and adolescents with rhabdomyosarcoma (RMS) comprise a heterogeneous  population with variable overall survival rates ranging between approximately 6% and 100% depending on defined risk factors. Although the risk stratification of patients has been refined across five decades of collaborative group studies, molecular prognostic biomarkers beyond FOXO1 fusion status have yet to be incorporated prospectively in upfront risk-based therapy assignments. This review describes the evolution of risk-based therapy and the current risk stratification, defines a new risk stratification incorporating novel biomarkers, and provides the rationale for the current and upcoming Children's Oncology Group RMS studies.","author":[{"dropping-particle":"","family":"Haduong","given":"Josephine H","non-dropping-particle":"","parse-names":false,"suffix":""},{"dropping-particle":"","family":"Heske","given":"Christine M","non-dropping-particle":"","parse-names":false,"suffix":""},{"dropping-particle":"","family":"Allen-Rhoades","given":"Wendy","non-dropping-particle":"","parse-names":false,"suffix":""},{"dropping-particle":"","family":"Xue","given":"Wei","non-dropping-particle":"","parse-names":false,"suffix":""},{"dropping-particle":"","family":"Teot","given":"Lisa A","non-dropping-particle":"","parse-names":false,"suffix":""},{"dropping-particle":"","family":"Rodeberg","given":"David A","non-dropping-particle":"","parse-names":false,"suffix":""},{"dropping-particle":"","family":"Donaldson","given":"Sarah S","non-dropping-particle":"","parse-names":false,"suffix":""},{"dropping-particle":"","family":"Weiss","given":"Aaron","non-dropping-particle":"","parse-names":false,"suffix":""},{"dropping-particle":"","family":"Hawkins","given":"Douglas S","non-dropping-particle":"","parse-names":false,"suffix":""},{"dropping-particle":"","family":"Venkatramani","given":"Rajkumar","non-dropping-particle":"","parse-names":false,"suffix":""}],"container-title":"Pediatric blood &amp; cancer","id":"ITEM-1","issue":"4","issued":{"date-parts":[["2022","4"]]},"language":"eng","page":"e29511","publisher-place":"United States","title":"An update on rhabdomyosarcoma risk stratification and the rationale for current  and future Children's Oncology Group clinical trials.","type":"article-journal","volume":"69"},"uris":["http://www.mendeley.com/documents/?uuid=f11702d0-9e24-4e0d-b346-fc2b413900ee"]}],"mendeley":{"formattedCitation":"[6]","plainTextFormattedCitation":"[6]","previouslyFormattedCitation":"(Haduong &lt;i&gt;et al.&lt;/i&gt;, 2022)"},"properties":{"noteIndex":0},"schema":"https://github.com/citation-style-language/schema/raw/master/csl-citation.json"}</w:instrText>
      </w:r>
      <w:r w:rsidRPr="00E70EFD">
        <w:rPr>
          <w:rFonts w:asciiTheme="majorBidi" w:hAnsiTheme="majorBidi" w:cstheme="majorBidi"/>
          <w:b/>
          <w:bCs/>
          <w:sz w:val="20"/>
          <w:szCs w:val="20"/>
          <w:u w:val="single"/>
        </w:rPr>
        <w:fldChar w:fldCharType="separate"/>
      </w:r>
      <w:r w:rsidRPr="00BD0BEC">
        <w:rPr>
          <w:rFonts w:asciiTheme="majorBidi" w:hAnsiTheme="majorBidi" w:cstheme="majorBidi"/>
          <w:bCs/>
          <w:noProof/>
          <w:sz w:val="20"/>
          <w:szCs w:val="20"/>
        </w:rPr>
        <w:t>[6]</w:t>
      </w:r>
      <w:r w:rsidRPr="00E70EFD">
        <w:rPr>
          <w:rFonts w:asciiTheme="majorBidi" w:hAnsiTheme="majorBidi" w:cstheme="majorBidi"/>
          <w:sz w:val="20"/>
          <w:szCs w:val="20"/>
        </w:rPr>
        <w:fldChar w:fldCharType="end"/>
      </w:r>
      <w:r w:rsidRPr="00E70EFD">
        <w:rPr>
          <w:rFonts w:asciiTheme="majorBidi" w:hAnsiTheme="majorBidi" w:cstheme="majorBidi"/>
          <w:sz w:val="20"/>
          <w:szCs w:val="20"/>
        </w:rPr>
        <w:br/>
        <w:t>Current Children’s Oncology Group Rhabdomyosarcoma Risk Stratification</w:t>
      </w:r>
    </w:p>
    <w:tbl>
      <w:tblPr>
        <w:tblStyle w:val="TableGrid"/>
        <w:tblW w:w="0" w:type="auto"/>
        <w:tblLook w:val="04A0" w:firstRow="1" w:lastRow="0" w:firstColumn="1" w:lastColumn="0" w:noHBand="0" w:noVBand="1"/>
      </w:tblPr>
      <w:tblGrid>
        <w:gridCol w:w="1227"/>
        <w:gridCol w:w="716"/>
        <w:gridCol w:w="1783"/>
        <w:gridCol w:w="1001"/>
        <w:gridCol w:w="1378"/>
      </w:tblGrid>
      <w:tr w:rsidR="00877BC2" w:rsidRPr="00E70EFD" w14:paraId="222A23B8" w14:textId="77777777" w:rsidTr="00804F1C">
        <w:tc>
          <w:tcPr>
            <w:tcW w:w="0" w:type="auto"/>
            <w:hideMark/>
          </w:tcPr>
          <w:p w14:paraId="29A0542F"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Risk Group</w:t>
            </w:r>
          </w:p>
        </w:tc>
        <w:tc>
          <w:tcPr>
            <w:tcW w:w="0" w:type="auto"/>
            <w:hideMark/>
          </w:tcPr>
          <w:p w14:paraId="06CA6612"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Stage</w:t>
            </w:r>
          </w:p>
        </w:tc>
        <w:tc>
          <w:tcPr>
            <w:tcW w:w="0" w:type="auto"/>
            <w:hideMark/>
          </w:tcPr>
          <w:p w14:paraId="1DBA6F99"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Clinical Group</w:t>
            </w:r>
          </w:p>
        </w:tc>
        <w:tc>
          <w:tcPr>
            <w:tcW w:w="0" w:type="auto"/>
            <w:hideMark/>
          </w:tcPr>
          <w:p w14:paraId="1457F6C2"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Age</w:t>
            </w:r>
          </w:p>
        </w:tc>
        <w:tc>
          <w:tcPr>
            <w:tcW w:w="0" w:type="auto"/>
            <w:hideMark/>
          </w:tcPr>
          <w:p w14:paraId="0DA23078"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Fusion Status</w:t>
            </w:r>
          </w:p>
        </w:tc>
      </w:tr>
      <w:tr w:rsidR="00877BC2" w:rsidRPr="00E70EFD" w14:paraId="631C0E5C" w14:textId="77777777" w:rsidTr="00804F1C">
        <w:tc>
          <w:tcPr>
            <w:tcW w:w="0" w:type="auto"/>
            <w:vMerge w:val="restart"/>
            <w:hideMark/>
          </w:tcPr>
          <w:p w14:paraId="45A8FF3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Low</w:t>
            </w:r>
          </w:p>
        </w:tc>
        <w:tc>
          <w:tcPr>
            <w:tcW w:w="0" w:type="auto"/>
            <w:hideMark/>
          </w:tcPr>
          <w:p w14:paraId="7F52E13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1</w:t>
            </w:r>
          </w:p>
        </w:tc>
        <w:tc>
          <w:tcPr>
            <w:tcW w:w="0" w:type="auto"/>
            <w:hideMark/>
          </w:tcPr>
          <w:p w14:paraId="2997538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II, III (orbit only)</w:t>
            </w:r>
          </w:p>
        </w:tc>
        <w:tc>
          <w:tcPr>
            <w:tcW w:w="0" w:type="auto"/>
            <w:vMerge w:val="restart"/>
            <w:hideMark/>
          </w:tcPr>
          <w:p w14:paraId="2D6C136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Any</w:t>
            </w:r>
          </w:p>
        </w:tc>
        <w:tc>
          <w:tcPr>
            <w:tcW w:w="0" w:type="auto"/>
            <w:vMerge w:val="restart"/>
            <w:hideMark/>
          </w:tcPr>
          <w:p w14:paraId="2631E49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1D4062BB" w14:textId="77777777" w:rsidTr="00804F1C">
        <w:tc>
          <w:tcPr>
            <w:tcW w:w="0" w:type="auto"/>
            <w:vMerge/>
            <w:hideMark/>
          </w:tcPr>
          <w:p w14:paraId="465FC985" w14:textId="77777777" w:rsidR="00877BC2" w:rsidRPr="00E70EFD" w:rsidRDefault="00877BC2" w:rsidP="00804F1C">
            <w:pPr>
              <w:rPr>
                <w:rFonts w:asciiTheme="majorBidi" w:hAnsiTheme="majorBidi" w:cstheme="majorBidi"/>
                <w:sz w:val="20"/>
                <w:szCs w:val="20"/>
              </w:rPr>
            </w:pPr>
          </w:p>
        </w:tc>
        <w:tc>
          <w:tcPr>
            <w:tcW w:w="0" w:type="auto"/>
            <w:hideMark/>
          </w:tcPr>
          <w:p w14:paraId="63C2D4F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2</w:t>
            </w:r>
          </w:p>
        </w:tc>
        <w:tc>
          <w:tcPr>
            <w:tcW w:w="0" w:type="auto"/>
            <w:hideMark/>
          </w:tcPr>
          <w:p w14:paraId="44703BC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II</w:t>
            </w:r>
          </w:p>
        </w:tc>
        <w:tc>
          <w:tcPr>
            <w:tcW w:w="0" w:type="auto"/>
            <w:vMerge/>
            <w:hideMark/>
          </w:tcPr>
          <w:p w14:paraId="20B12DE9" w14:textId="77777777" w:rsidR="00877BC2" w:rsidRPr="00E70EFD" w:rsidRDefault="00877BC2" w:rsidP="00804F1C">
            <w:pPr>
              <w:rPr>
                <w:rFonts w:asciiTheme="majorBidi" w:hAnsiTheme="majorBidi" w:cstheme="majorBidi"/>
                <w:sz w:val="20"/>
                <w:szCs w:val="20"/>
              </w:rPr>
            </w:pPr>
          </w:p>
        </w:tc>
        <w:tc>
          <w:tcPr>
            <w:tcW w:w="0" w:type="auto"/>
            <w:vMerge/>
            <w:hideMark/>
          </w:tcPr>
          <w:p w14:paraId="483B1278" w14:textId="77777777" w:rsidR="00877BC2" w:rsidRPr="00E70EFD" w:rsidRDefault="00877BC2" w:rsidP="00804F1C">
            <w:pPr>
              <w:rPr>
                <w:rFonts w:asciiTheme="majorBidi" w:hAnsiTheme="majorBidi" w:cstheme="majorBidi"/>
                <w:sz w:val="20"/>
                <w:szCs w:val="20"/>
              </w:rPr>
            </w:pPr>
          </w:p>
        </w:tc>
      </w:tr>
      <w:tr w:rsidR="00877BC2" w:rsidRPr="00E70EFD" w14:paraId="04E290E3" w14:textId="77777777" w:rsidTr="00804F1C">
        <w:tc>
          <w:tcPr>
            <w:tcW w:w="0" w:type="auto"/>
            <w:vMerge w:val="restart"/>
            <w:hideMark/>
          </w:tcPr>
          <w:p w14:paraId="4A18714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Intermediate</w:t>
            </w:r>
          </w:p>
        </w:tc>
        <w:tc>
          <w:tcPr>
            <w:tcW w:w="0" w:type="auto"/>
            <w:hideMark/>
          </w:tcPr>
          <w:p w14:paraId="26BFA13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1</w:t>
            </w:r>
          </w:p>
        </w:tc>
        <w:tc>
          <w:tcPr>
            <w:tcW w:w="0" w:type="auto"/>
            <w:hideMark/>
          </w:tcPr>
          <w:p w14:paraId="209899B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III (non-orbit)</w:t>
            </w:r>
          </w:p>
        </w:tc>
        <w:tc>
          <w:tcPr>
            <w:tcW w:w="0" w:type="auto"/>
            <w:vMerge w:val="restart"/>
            <w:hideMark/>
          </w:tcPr>
          <w:p w14:paraId="194CE58F"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Any</w:t>
            </w:r>
          </w:p>
        </w:tc>
        <w:tc>
          <w:tcPr>
            <w:tcW w:w="0" w:type="auto"/>
            <w:hideMark/>
          </w:tcPr>
          <w:p w14:paraId="360F52A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3D080071" w14:textId="77777777" w:rsidTr="00804F1C">
        <w:tc>
          <w:tcPr>
            <w:tcW w:w="0" w:type="auto"/>
            <w:vMerge/>
            <w:hideMark/>
          </w:tcPr>
          <w:p w14:paraId="02DCFB22" w14:textId="77777777" w:rsidR="00877BC2" w:rsidRPr="00E70EFD" w:rsidRDefault="00877BC2" w:rsidP="00804F1C">
            <w:pPr>
              <w:rPr>
                <w:rFonts w:asciiTheme="majorBidi" w:hAnsiTheme="majorBidi" w:cstheme="majorBidi"/>
                <w:sz w:val="20"/>
                <w:szCs w:val="20"/>
              </w:rPr>
            </w:pPr>
          </w:p>
        </w:tc>
        <w:tc>
          <w:tcPr>
            <w:tcW w:w="0" w:type="auto"/>
            <w:hideMark/>
          </w:tcPr>
          <w:p w14:paraId="729AF05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1, 2, 3</w:t>
            </w:r>
          </w:p>
        </w:tc>
        <w:tc>
          <w:tcPr>
            <w:tcW w:w="0" w:type="auto"/>
            <w:hideMark/>
          </w:tcPr>
          <w:p w14:paraId="3D02FAC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II, III</w:t>
            </w:r>
          </w:p>
        </w:tc>
        <w:tc>
          <w:tcPr>
            <w:tcW w:w="0" w:type="auto"/>
            <w:vMerge/>
            <w:hideMark/>
          </w:tcPr>
          <w:p w14:paraId="365C2FB7" w14:textId="77777777" w:rsidR="00877BC2" w:rsidRPr="00E70EFD" w:rsidRDefault="00877BC2" w:rsidP="00804F1C">
            <w:pPr>
              <w:rPr>
                <w:rFonts w:asciiTheme="majorBidi" w:hAnsiTheme="majorBidi" w:cstheme="majorBidi"/>
                <w:sz w:val="20"/>
                <w:szCs w:val="20"/>
              </w:rPr>
            </w:pPr>
          </w:p>
        </w:tc>
        <w:tc>
          <w:tcPr>
            <w:tcW w:w="0" w:type="auto"/>
            <w:hideMark/>
          </w:tcPr>
          <w:p w14:paraId="099F3D8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57279054" w14:textId="77777777" w:rsidTr="00804F1C">
        <w:tc>
          <w:tcPr>
            <w:tcW w:w="0" w:type="auto"/>
            <w:vMerge/>
            <w:hideMark/>
          </w:tcPr>
          <w:p w14:paraId="7705C2D1" w14:textId="77777777" w:rsidR="00877BC2" w:rsidRPr="00E70EFD" w:rsidRDefault="00877BC2" w:rsidP="00804F1C">
            <w:pPr>
              <w:rPr>
                <w:rFonts w:asciiTheme="majorBidi" w:hAnsiTheme="majorBidi" w:cstheme="majorBidi"/>
                <w:sz w:val="20"/>
                <w:szCs w:val="20"/>
              </w:rPr>
            </w:pPr>
          </w:p>
        </w:tc>
        <w:tc>
          <w:tcPr>
            <w:tcW w:w="0" w:type="auto"/>
            <w:hideMark/>
          </w:tcPr>
          <w:p w14:paraId="330FCEF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2, 3</w:t>
            </w:r>
          </w:p>
        </w:tc>
        <w:tc>
          <w:tcPr>
            <w:tcW w:w="0" w:type="auto"/>
            <w:hideMark/>
          </w:tcPr>
          <w:p w14:paraId="00841AD3"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III</w:t>
            </w:r>
          </w:p>
        </w:tc>
        <w:tc>
          <w:tcPr>
            <w:tcW w:w="0" w:type="auto"/>
            <w:vMerge/>
            <w:hideMark/>
          </w:tcPr>
          <w:p w14:paraId="6705C77F" w14:textId="77777777" w:rsidR="00877BC2" w:rsidRPr="00E70EFD" w:rsidRDefault="00877BC2" w:rsidP="00804F1C">
            <w:pPr>
              <w:rPr>
                <w:rFonts w:asciiTheme="majorBidi" w:hAnsiTheme="majorBidi" w:cstheme="majorBidi"/>
                <w:sz w:val="20"/>
                <w:szCs w:val="20"/>
              </w:rPr>
            </w:pPr>
          </w:p>
        </w:tc>
        <w:tc>
          <w:tcPr>
            <w:tcW w:w="0" w:type="auto"/>
            <w:hideMark/>
          </w:tcPr>
          <w:p w14:paraId="63C351D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1C5B31B7" w14:textId="77777777" w:rsidTr="00804F1C">
        <w:tc>
          <w:tcPr>
            <w:tcW w:w="0" w:type="auto"/>
            <w:vMerge/>
            <w:hideMark/>
          </w:tcPr>
          <w:p w14:paraId="23D8BD96" w14:textId="77777777" w:rsidR="00877BC2" w:rsidRPr="00E70EFD" w:rsidRDefault="00877BC2" w:rsidP="00804F1C">
            <w:pPr>
              <w:rPr>
                <w:rFonts w:asciiTheme="majorBidi" w:hAnsiTheme="majorBidi" w:cstheme="majorBidi"/>
                <w:sz w:val="20"/>
                <w:szCs w:val="20"/>
              </w:rPr>
            </w:pPr>
          </w:p>
        </w:tc>
        <w:tc>
          <w:tcPr>
            <w:tcW w:w="0" w:type="auto"/>
            <w:hideMark/>
          </w:tcPr>
          <w:p w14:paraId="4CEDD984"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3</w:t>
            </w:r>
          </w:p>
        </w:tc>
        <w:tc>
          <w:tcPr>
            <w:tcW w:w="0" w:type="auto"/>
            <w:hideMark/>
          </w:tcPr>
          <w:p w14:paraId="5BBE755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II</w:t>
            </w:r>
          </w:p>
        </w:tc>
        <w:tc>
          <w:tcPr>
            <w:tcW w:w="0" w:type="auto"/>
            <w:vMerge/>
            <w:hideMark/>
          </w:tcPr>
          <w:p w14:paraId="34A97DE0" w14:textId="77777777" w:rsidR="00877BC2" w:rsidRPr="00E70EFD" w:rsidRDefault="00877BC2" w:rsidP="00804F1C">
            <w:pPr>
              <w:rPr>
                <w:rFonts w:asciiTheme="majorBidi" w:hAnsiTheme="majorBidi" w:cstheme="majorBidi"/>
                <w:sz w:val="20"/>
                <w:szCs w:val="20"/>
              </w:rPr>
            </w:pPr>
          </w:p>
        </w:tc>
        <w:tc>
          <w:tcPr>
            <w:tcW w:w="0" w:type="auto"/>
            <w:hideMark/>
          </w:tcPr>
          <w:p w14:paraId="654ED55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509C010B" w14:textId="77777777" w:rsidTr="00804F1C">
        <w:tc>
          <w:tcPr>
            <w:tcW w:w="0" w:type="auto"/>
            <w:vMerge/>
            <w:hideMark/>
          </w:tcPr>
          <w:p w14:paraId="718EFB6A" w14:textId="77777777" w:rsidR="00877BC2" w:rsidRPr="00E70EFD" w:rsidRDefault="00877BC2" w:rsidP="00804F1C">
            <w:pPr>
              <w:rPr>
                <w:rFonts w:asciiTheme="majorBidi" w:hAnsiTheme="majorBidi" w:cstheme="majorBidi"/>
                <w:sz w:val="20"/>
                <w:szCs w:val="20"/>
              </w:rPr>
            </w:pPr>
          </w:p>
        </w:tc>
        <w:tc>
          <w:tcPr>
            <w:tcW w:w="0" w:type="auto"/>
            <w:hideMark/>
          </w:tcPr>
          <w:p w14:paraId="15500BB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4</w:t>
            </w:r>
          </w:p>
        </w:tc>
        <w:tc>
          <w:tcPr>
            <w:tcW w:w="0" w:type="auto"/>
            <w:hideMark/>
          </w:tcPr>
          <w:p w14:paraId="3ADE4F3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IV</w:t>
            </w:r>
          </w:p>
        </w:tc>
        <w:tc>
          <w:tcPr>
            <w:tcW w:w="0" w:type="auto"/>
            <w:hideMark/>
          </w:tcPr>
          <w:p w14:paraId="7D919B63"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&lt;10 years</w:t>
            </w:r>
          </w:p>
        </w:tc>
        <w:tc>
          <w:tcPr>
            <w:tcW w:w="0" w:type="auto"/>
            <w:hideMark/>
          </w:tcPr>
          <w:p w14:paraId="56031DD3"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183F0CA0" w14:textId="77777777" w:rsidTr="00804F1C">
        <w:tc>
          <w:tcPr>
            <w:tcW w:w="0" w:type="auto"/>
            <w:vMerge w:val="restart"/>
            <w:hideMark/>
          </w:tcPr>
          <w:p w14:paraId="0BE0D13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High</w:t>
            </w:r>
          </w:p>
        </w:tc>
        <w:tc>
          <w:tcPr>
            <w:tcW w:w="0" w:type="auto"/>
            <w:vMerge w:val="restart"/>
            <w:hideMark/>
          </w:tcPr>
          <w:p w14:paraId="4AC7437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4</w:t>
            </w:r>
          </w:p>
        </w:tc>
        <w:tc>
          <w:tcPr>
            <w:tcW w:w="0" w:type="auto"/>
            <w:vMerge w:val="restart"/>
            <w:hideMark/>
          </w:tcPr>
          <w:p w14:paraId="5973D1D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IV</w:t>
            </w:r>
          </w:p>
        </w:tc>
        <w:tc>
          <w:tcPr>
            <w:tcW w:w="0" w:type="auto"/>
            <w:hideMark/>
          </w:tcPr>
          <w:p w14:paraId="4B462C5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&gt;10 years</w:t>
            </w:r>
          </w:p>
        </w:tc>
        <w:tc>
          <w:tcPr>
            <w:tcW w:w="0" w:type="auto"/>
            <w:hideMark/>
          </w:tcPr>
          <w:p w14:paraId="5E204D3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r w:rsidR="00877BC2" w:rsidRPr="00E70EFD" w14:paraId="7036441A" w14:textId="77777777" w:rsidTr="00804F1C">
        <w:tc>
          <w:tcPr>
            <w:tcW w:w="0" w:type="auto"/>
            <w:vMerge/>
            <w:hideMark/>
          </w:tcPr>
          <w:p w14:paraId="45D42134" w14:textId="77777777" w:rsidR="00877BC2" w:rsidRPr="00E70EFD" w:rsidRDefault="00877BC2" w:rsidP="00804F1C">
            <w:pPr>
              <w:rPr>
                <w:rFonts w:asciiTheme="majorBidi" w:hAnsiTheme="majorBidi" w:cstheme="majorBidi"/>
                <w:sz w:val="20"/>
                <w:szCs w:val="20"/>
              </w:rPr>
            </w:pPr>
          </w:p>
        </w:tc>
        <w:tc>
          <w:tcPr>
            <w:tcW w:w="0" w:type="auto"/>
            <w:vMerge/>
            <w:hideMark/>
          </w:tcPr>
          <w:p w14:paraId="760AA1E0" w14:textId="77777777" w:rsidR="00877BC2" w:rsidRPr="00E70EFD" w:rsidRDefault="00877BC2" w:rsidP="00804F1C">
            <w:pPr>
              <w:rPr>
                <w:rFonts w:asciiTheme="majorBidi" w:hAnsiTheme="majorBidi" w:cstheme="majorBidi"/>
                <w:sz w:val="20"/>
                <w:szCs w:val="20"/>
              </w:rPr>
            </w:pPr>
          </w:p>
        </w:tc>
        <w:tc>
          <w:tcPr>
            <w:tcW w:w="0" w:type="auto"/>
            <w:vMerge/>
            <w:hideMark/>
          </w:tcPr>
          <w:p w14:paraId="10F1145A" w14:textId="77777777" w:rsidR="00877BC2" w:rsidRPr="00E70EFD" w:rsidRDefault="00877BC2" w:rsidP="00804F1C">
            <w:pPr>
              <w:rPr>
                <w:rFonts w:asciiTheme="majorBidi" w:hAnsiTheme="majorBidi" w:cstheme="majorBidi"/>
                <w:sz w:val="20"/>
                <w:szCs w:val="20"/>
              </w:rPr>
            </w:pPr>
          </w:p>
        </w:tc>
        <w:tc>
          <w:tcPr>
            <w:tcW w:w="0" w:type="auto"/>
            <w:hideMark/>
          </w:tcPr>
          <w:p w14:paraId="0BA66B7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Any</w:t>
            </w:r>
          </w:p>
        </w:tc>
        <w:tc>
          <w:tcPr>
            <w:tcW w:w="0" w:type="auto"/>
            <w:hideMark/>
          </w:tcPr>
          <w:p w14:paraId="0A761CA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i/>
                <w:iCs/>
                <w:sz w:val="20"/>
                <w:szCs w:val="20"/>
              </w:rPr>
              <w:t>FOXO1</w:t>
            </w:r>
            <w:r w:rsidRPr="00E70EFD">
              <w:rPr>
                <w:rFonts w:asciiTheme="majorBidi" w:hAnsiTheme="majorBidi" w:cstheme="majorBidi"/>
                <w:sz w:val="20"/>
                <w:szCs w:val="20"/>
              </w:rPr>
              <w:t> +</w:t>
            </w:r>
          </w:p>
        </w:tc>
      </w:tr>
    </w:tbl>
    <w:p w14:paraId="6CDF88F0" w14:textId="77777777" w:rsidR="00877BC2" w:rsidRPr="00E70EFD" w:rsidRDefault="00877BC2" w:rsidP="00877BC2">
      <w:pPr>
        <w:spacing w:line="480" w:lineRule="auto"/>
        <w:rPr>
          <w:rFonts w:asciiTheme="majorBidi" w:hAnsiTheme="majorBidi" w:cstheme="majorBidi"/>
          <w:sz w:val="20"/>
          <w:szCs w:val="20"/>
        </w:rPr>
      </w:pPr>
    </w:p>
    <w:p w14:paraId="569543D1" w14:textId="77777777" w:rsidR="00877BC2" w:rsidRPr="00E70EFD" w:rsidRDefault="00877BC2" w:rsidP="00877BC2">
      <w:pPr>
        <w:spacing w:line="480" w:lineRule="auto"/>
        <w:rPr>
          <w:rFonts w:asciiTheme="majorBidi" w:hAnsiTheme="majorBidi" w:cstheme="majorBidi"/>
          <w:b/>
          <w:bCs/>
          <w:sz w:val="20"/>
          <w:szCs w:val="20"/>
          <w:u w:val="single"/>
        </w:rPr>
      </w:pPr>
    </w:p>
    <w:p w14:paraId="375780AB" w14:textId="77777777" w:rsidR="00877BC2" w:rsidRPr="00E70EFD" w:rsidRDefault="00877BC2" w:rsidP="00877BC2">
      <w:pPr>
        <w:spacing w:line="480" w:lineRule="auto"/>
        <w:rPr>
          <w:rFonts w:asciiTheme="majorBidi" w:hAnsiTheme="majorBidi" w:cstheme="majorBidi"/>
          <w:b/>
          <w:bCs/>
          <w:sz w:val="20"/>
          <w:szCs w:val="20"/>
          <w:u w:val="single"/>
        </w:rPr>
      </w:pPr>
    </w:p>
    <w:p w14:paraId="32EFEE7F" w14:textId="77777777" w:rsidR="00877BC2" w:rsidRPr="00E70EFD" w:rsidRDefault="00877BC2" w:rsidP="00877BC2">
      <w:pPr>
        <w:spacing w:line="480" w:lineRule="auto"/>
        <w:rPr>
          <w:rFonts w:asciiTheme="majorBidi" w:hAnsiTheme="majorBidi" w:cstheme="majorBidi"/>
          <w:b/>
          <w:bCs/>
          <w:sz w:val="20"/>
          <w:szCs w:val="20"/>
          <w:u w:val="single"/>
        </w:rPr>
      </w:pPr>
    </w:p>
    <w:p w14:paraId="399D57D4" w14:textId="77777777" w:rsidR="00877BC2" w:rsidRPr="00E70EFD" w:rsidRDefault="00877BC2" w:rsidP="00877BC2">
      <w:pPr>
        <w:spacing w:line="480" w:lineRule="auto"/>
        <w:rPr>
          <w:rFonts w:asciiTheme="majorBidi" w:hAnsiTheme="majorBidi" w:cstheme="majorBidi"/>
          <w:b/>
          <w:bCs/>
          <w:sz w:val="20"/>
          <w:szCs w:val="20"/>
          <w:u w:val="single"/>
        </w:rPr>
      </w:pPr>
    </w:p>
    <w:p w14:paraId="643F23C0" w14:textId="77777777" w:rsidR="00877BC2" w:rsidRPr="00E70EFD" w:rsidRDefault="00877BC2" w:rsidP="00877BC2">
      <w:pPr>
        <w:spacing w:line="480" w:lineRule="auto"/>
        <w:rPr>
          <w:rFonts w:asciiTheme="majorBidi" w:hAnsiTheme="majorBidi" w:cstheme="majorBidi"/>
          <w:b/>
          <w:bCs/>
          <w:sz w:val="20"/>
          <w:szCs w:val="20"/>
          <w:u w:val="single"/>
        </w:rPr>
      </w:pPr>
    </w:p>
    <w:p w14:paraId="654B5E61" w14:textId="77777777" w:rsidR="00877BC2" w:rsidRPr="00E70EFD" w:rsidRDefault="00877BC2" w:rsidP="00877BC2">
      <w:pPr>
        <w:spacing w:line="480" w:lineRule="auto"/>
        <w:rPr>
          <w:rFonts w:asciiTheme="majorBidi" w:hAnsiTheme="majorBidi" w:cstheme="majorBidi"/>
          <w:b/>
          <w:bCs/>
          <w:sz w:val="20"/>
          <w:szCs w:val="20"/>
          <w:u w:val="single"/>
        </w:rPr>
      </w:pPr>
    </w:p>
    <w:p w14:paraId="1770A315" w14:textId="77777777" w:rsidR="00877BC2" w:rsidRPr="00E70EFD" w:rsidRDefault="00877BC2" w:rsidP="00877BC2">
      <w:pPr>
        <w:spacing w:line="480" w:lineRule="auto"/>
        <w:rPr>
          <w:rFonts w:asciiTheme="majorBidi" w:hAnsiTheme="majorBidi" w:cstheme="majorBidi"/>
          <w:b/>
          <w:bCs/>
          <w:sz w:val="20"/>
          <w:szCs w:val="20"/>
          <w:u w:val="single"/>
        </w:rPr>
      </w:pPr>
    </w:p>
    <w:p w14:paraId="572D090F" w14:textId="77777777" w:rsidR="00877BC2" w:rsidRPr="00E70EFD" w:rsidRDefault="00877BC2" w:rsidP="00877BC2">
      <w:pPr>
        <w:spacing w:line="480" w:lineRule="auto"/>
        <w:rPr>
          <w:rFonts w:asciiTheme="majorBidi" w:hAnsiTheme="majorBidi" w:cstheme="majorBidi"/>
          <w:b/>
          <w:bCs/>
          <w:sz w:val="20"/>
          <w:szCs w:val="20"/>
          <w:u w:val="single"/>
        </w:rPr>
      </w:pPr>
    </w:p>
    <w:p w14:paraId="75C179A2" w14:textId="77777777" w:rsidR="00877BC2" w:rsidRPr="00E70EFD" w:rsidRDefault="00877BC2" w:rsidP="00877BC2">
      <w:pPr>
        <w:spacing w:line="480" w:lineRule="auto"/>
        <w:rPr>
          <w:rFonts w:asciiTheme="majorBidi" w:hAnsiTheme="majorBidi" w:cstheme="majorBidi"/>
          <w:b/>
          <w:bCs/>
          <w:sz w:val="20"/>
          <w:szCs w:val="20"/>
          <w:u w:val="single"/>
        </w:rPr>
      </w:pPr>
    </w:p>
    <w:p w14:paraId="1A643F5A" w14:textId="77777777" w:rsidR="00877BC2" w:rsidRPr="00E70EFD" w:rsidRDefault="00877BC2" w:rsidP="00877BC2">
      <w:pPr>
        <w:spacing w:line="480" w:lineRule="auto"/>
        <w:rPr>
          <w:rFonts w:asciiTheme="majorBidi" w:hAnsiTheme="majorBidi" w:cstheme="majorBidi"/>
          <w:b/>
          <w:bCs/>
          <w:sz w:val="20"/>
          <w:szCs w:val="20"/>
          <w:u w:val="single"/>
        </w:rPr>
      </w:pPr>
    </w:p>
    <w:p w14:paraId="12DF3125" w14:textId="77777777" w:rsidR="00877BC2" w:rsidRPr="00E70EFD" w:rsidRDefault="00877BC2" w:rsidP="00877BC2">
      <w:pPr>
        <w:spacing w:line="480" w:lineRule="auto"/>
        <w:rPr>
          <w:rFonts w:asciiTheme="majorBidi" w:hAnsiTheme="majorBidi" w:cstheme="majorBidi"/>
          <w:b/>
          <w:bCs/>
          <w:sz w:val="20"/>
          <w:szCs w:val="20"/>
          <w:u w:val="single"/>
        </w:rPr>
      </w:pPr>
    </w:p>
    <w:p w14:paraId="176D1CEE" w14:textId="77777777" w:rsidR="00877BC2" w:rsidRPr="00E70EFD" w:rsidRDefault="00877BC2" w:rsidP="00877BC2">
      <w:pPr>
        <w:spacing w:line="480" w:lineRule="auto"/>
        <w:rPr>
          <w:rFonts w:asciiTheme="majorBidi" w:hAnsiTheme="majorBidi" w:cstheme="majorBidi"/>
          <w:b/>
          <w:bCs/>
          <w:sz w:val="20"/>
          <w:szCs w:val="20"/>
          <w:u w:val="single"/>
        </w:rPr>
      </w:pPr>
    </w:p>
    <w:p w14:paraId="4FFB8AAF" w14:textId="77777777" w:rsidR="00877BC2" w:rsidRPr="00E70EFD" w:rsidRDefault="00877BC2" w:rsidP="00877BC2">
      <w:pPr>
        <w:spacing w:line="480" w:lineRule="auto"/>
        <w:rPr>
          <w:rFonts w:asciiTheme="majorBidi" w:hAnsiTheme="majorBidi" w:cstheme="majorBidi"/>
          <w:b/>
          <w:bCs/>
          <w:sz w:val="20"/>
          <w:szCs w:val="20"/>
          <w:u w:val="single"/>
        </w:rPr>
      </w:pPr>
    </w:p>
    <w:p w14:paraId="00044C92" w14:textId="77777777" w:rsidR="00877BC2" w:rsidRPr="00E70EFD" w:rsidRDefault="00877BC2" w:rsidP="00877BC2">
      <w:pPr>
        <w:spacing w:line="480" w:lineRule="auto"/>
        <w:rPr>
          <w:rFonts w:asciiTheme="majorBidi" w:hAnsiTheme="majorBidi" w:cstheme="majorBidi"/>
          <w:b/>
          <w:bCs/>
          <w:sz w:val="20"/>
          <w:szCs w:val="20"/>
          <w:u w:val="single"/>
        </w:rPr>
      </w:pPr>
    </w:p>
    <w:p w14:paraId="3FFA2D38" w14:textId="77777777" w:rsidR="00877BC2" w:rsidRPr="00E70EFD" w:rsidRDefault="00877BC2" w:rsidP="00877BC2">
      <w:pPr>
        <w:spacing w:line="480" w:lineRule="auto"/>
        <w:rPr>
          <w:rFonts w:asciiTheme="majorBidi" w:hAnsiTheme="majorBidi" w:cstheme="majorBidi"/>
          <w:sz w:val="20"/>
          <w:szCs w:val="20"/>
        </w:rPr>
      </w:pPr>
      <w:r w:rsidRPr="00E70EFD">
        <w:rPr>
          <w:rFonts w:asciiTheme="majorBidi" w:hAnsiTheme="majorBidi" w:cstheme="majorBidi"/>
          <w:b/>
          <w:bCs/>
          <w:sz w:val="20"/>
          <w:szCs w:val="20"/>
          <w:u w:val="single"/>
        </w:rPr>
        <w:lastRenderedPageBreak/>
        <w:t>Supplementary Table 2</w:t>
      </w:r>
      <w:r w:rsidRPr="00E70EFD">
        <w:rPr>
          <w:rFonts w:asciiTheme="majorBidi" w:hAnsiTheme="majorBidi" w:cstheme="majorBidi"/>
          <w:sz w:val="20"/>
          <w:szCs w:val="20"/>
        </w:rPr>
        <w:t>: Study Objectives, Treatment Regimens, and Study Details</w:t>
      </w:r>
    </w:p>
    <w:tbl>
      <w:tblPr>
        <w:tblStyle w:val="TableGrid"/>
        <w:tblW w:w="0" w:type="auto"/>
        <w:tblLook w:val="04A0" w:firstRow="1" w:lastRow="0" w:firstColumn="1" w:lastColumn="0" w:noHBand="0" w:noVBand="1"/>
      </w:tblPr>
      <w:tblGrid>
        <w:gridCol w:w="1411"/>
        <w:gridCol w:w="7939"/>
      </w:tblGrid>
      <w:tr w:rsidR="00877BC2" w:rsidRPr="00E70EFD" w14:paraId="29B94D7C" w14:textId="77777777" w:rsidTr="00804F1C">
        <w:tc>
          <w:tcPr>
            <w:tcW w:w="0" w:type="auto"/>
            <w:shd w:val="clear" w:color="auto" w:fill="E8E8E8" w:themeFill="background2"/>
            <w:hideMark/>
          </w:tcPr>
          <w:p w14:paraId="7BA58F50"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Study Number &amp; Title</w:t>
            </w:r>
          </w:p>
        </w:tc>
        <w:tc>
          <w:tcPr>
            <w:tcW w:w="0" w:type="auto"/>
            <w:shd w:val="clear" w:color="auto" w:fill="E8E8E8" w:themeFill="background2"/>
            <w:hideMark/>
          </w:tcPr>
          <w:p w14:paraId="1977F331"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 xml:space="preserve">NCT00075582 - </w:t>
            </w:r>
            <w:r w:rsidRPr="00E70EFD">
              <w:rPr>
                <w:rFonts w:asciiTheme="majorBidi" w:hAnsiTheme="majorBidi" w:cstheme="majorBidi"/>
                <w:sz w:val="20"/>
                <w:szCs w:val="20"/>
              </w:rPr>
              <w:t xml:space="preserve">Vincristine, Dactinomycin, and Lower Doses of Cyclophosphamide </w:t>
            </w:r>
            <w:proofErr w:type="gramStart"/>
            <w:r w:rsidRPr="00E70EFD">
              <w:rPr>
                <w:rFonts w:asciiTheme="majorBidi" w:hAnsiTheme="majorBidi" w:cstheme="majorBidi"/>
                <w:sz w:val="20"/>
                <w:szCs w:val="20"/>
              </w:rPr>
              <w:t>With</w:t>
            </w:r>
            <w:proofErr w:type="gramEnd"/>
            <w:r w:rsidRPr="00E70EFD">
              <w:rPr>
                <w:rFonts w:asciiTheme="majorBidi" w:hAnsiTheme="majorBidi" w:cstheme="majorBidi"/>
                <w:sz w:val="20"/>
                <w:szCs w:val="20"/>
              </w:rPr>
              <w:t xml:space="preserve"> or Without Radiation Therapy for Patients With Newly Diagnosed Low-Risk Embryonal/Botryoid/Spindle Cell Rhabdomyosarcoma</w:t>
            </w:r>
          </w:p>
        </w:tc>
      </w:tr>
      <w:tr w:rsidR="00877BC2" w:rsidRPr="00E70EFD" w14:paraId="40844203" w14:textId="77777777" w:rsidTr="00804F1C">
        <w:tc>
          <w:tcPr>
            <w:tcW w:w="0" w:type="auto"/>
            <w:hideMark/>
          </w:tcPr>
          <w:p w14:paraId="44DE47B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Category</w:t>
            </w:r>
          </w:p>
        </w:tc>
        <w:tc>
          <w:tcPr>
            <w:tcW w:w="0" w:type="auto"/>
            <w:hideMark/>
          </w:tcPr>
          <w:p w14:paraId="1E73189F"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Details</w:t>
            </w:r>
          </w:p>
        </w:tc>
      </w:tr>
      <w:tr w:rsidR="00877BC2" w:rsidRPr="00E70EFD" w14:paraId="5F78B74B" w14:textId="77777777" w:rsidTr="00804F1C">
        <w:tc>
          <w:tcPr>
            <w:tcW w:w="0" w:type="auto"/>
            <w:hideMark/>
          </w:tcPr>
          <w:p w14:paraId="2CE5340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Primary Objective</w:t>
            </w:r>
          </w:p>
        </w:tc>
        <w:tc>
          <w:tcPr>
            <w:tcW w:w="0" w:type="auto"/>
            <w:hideMark/>
          </w:tcPr>
          <w:p w14:paraId="700A8AB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Assess failure-free survival in low-risk rhabdomyosarcoma treated with vincristine, dactinomycin, and cyclophosphamide, with or without radiotherapy.</w:t>
            </w:r>
          </w:p>
        </w:tc>
      </w:tr>
      <w:tr w:rsidR="00877BC2" w:rsidRPr="00E70EFD" w14:paraId="1B15F4D0" w14:textId="77777777" w:rsidTr="00804F1C">
        <w:tc>
          <w:tcPr>
            <w:tcW w:w="0" w:type="auto"/>
            <w:hideMark/>
          </w:tcPr>
          <w:p w14:paraId="351C9B3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Secondary Objectives</w:t>
            </w:r>
          </w:p>
        </w:tc>
        <w:tc>
          <w:tcPr>
            <w:tcW w:w="0" w:type="auto"/>
            <w:hideMark/>
          </w:tcPr>
          <w:p w14:paraId="257BD7E3"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Evaluate local control rates.</w:t>
            </w:r>
            <w:r w:rsidRPr="00E70EFD">
              <w:rPr>
                <w:rFonts w:asciiTheme="majorBidi" w:hAnsiTheme="majorBidi" w:cstheme="majorBidi"/>
                <w:sz w:val="20"/>
                <w:szCs w:val="20"/>
              </w:rPr>
              <w:br/>
              <w:t>II. Assess the need for second-look surgery and its significance.</w:t>
            </w:r>
            <w:r w:rsidRPr="00E70EFD">
              <w:rPr>
                <w:rFonts w:asciiTheme="majorBidi" w:hAnsiTheme="majorBidi" w:cstheme="majorBidi"/>
                <w:sz w:val="20"/>
                <w:szCs w:val="20"/>
              </w:rPr>
              <w:br/>
              <w:t>III. Analyze local control rates with adjusted radiotherapy doses after second-look surgery.</w:t>
            </w:r>
          </w:p>
        </w:tc>
      </w:tr>
      <w:tr w:rsidR="00877BC2" w:rsidRPr="00E70EFD" w14:paraId="65C73DF5" w14:textId="77777777" w:rsidTr="00804F1C">
        <w:tc>
          <w:tcPr>
            <w:tcW w:w="0" w:type="auto"/>
            <w:hideMark/>
          </w:tcPr>
          <w:p w14:paraId="345D7EC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Study Outline</w:t>
            </w:r>
          </w:p>
        </w:tc>
        <w:tc>
          <w:tcPr>
            <w:tcW w:w="0" w:type="auto"/>
            <w:hideMark/>
          </w:tcPr>
          <w:p w14:paraId="01D50FA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Nonrandomized, multicenter study with two regimens based on disease stage and clinical group.</w:t>
            </w:r>
            <w:r w:rsidRPr="00E70EFD">
              <w:rPr>
                <w:rFonts w:asciiTheme="majorBidi" w:hAnsiTheme="majorBidi" w:cstheme="majorBidi"/>
                <w:sz w:val="20"/>
                <w:szCs w:val="20"/>
              </w:rPr>
              <w:br/>
              <w:t>Regimen I: VAC chemotherapy (vincristine, dactinomycin, cyclophosphamide) and radiotherapy.</w:t>
            </w:r>
            <w:r w:rsidRPr="00E70EFD">
              <w:rPr>
                <w:rFonts w:asciiTheme="majorBidi" w:hAnsiTheme="majorBidi" w:cstheme="majorBidi"/>
                <w:sz w:val="20"/>
                <w:szCs w:val="20"/>
              </w:rPr>
              <w:br/>
              <w:t>Regimen II: VA chemotherapy (vincristine, dactinomycin) and radiotherapy.</w:t>
            </w:r>
          </w:p>
        </w:tc>
      </w:tr>
      <w:tr w:rsidR="00877BC2" w:rsidRPr="00E70EFD" w14:paraId="03A32FE5" w14:textId="77777777" w:rsidTr="00804F1C">
        <w:tc>
          <w:tcPr>
            <w:tcW w:w="0" w:type="auto"/>
            <w:hideMark/>
          </w:tcPr>
          <w:p w14:paraId="27A0BF3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Special Notes</w:t>
            </w:r>
          </w:p>
        </w:tc>
        <w:tc>
          <w:tcPr>
            <w:tcW w:w="0" w:type="auto"/>
            <w:hideMark/>
          </w:tcPr>
          <w:p w14:paraId="5CD572D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Dactinomycin omitted during radiotherapy.</w:t>
            </w:r>
            <w:r w:rsidRPr="00E70EFD">
              <w:rPr>
                <w:rFonts w:asciiTheme="majorBidi" w:hAnsiTheme="majorBidi" w:cstheme="majorBidi"/>
                <w:sz w:val="20"/>
                <w:szCs w:val="20"/>
              </w:rPr>
              <w:br/>
              <w:t>Clinical Group I tumors and Group III uterine/cervix disease with complete resection at Week 13 do not receive radiotherapy.</w:t>
            </w:r>
          </w:p>
        </w:tc>
      </w:tr>
      <w:tr w:rsidR="00877BC2" w:rsidRPr="00E70EFD" w14:paraId="0E17B986" w14:textId="77777777" w:rsidTr="00804F1C">
        <w:tc>
          <w:tcPr>
            <w:tcW w:w="0" w:type="auto"/>
            <w:hideMark/>
          </w:tcPr>
          <w:p w14:paraId="267127D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Follow-Up</w:t>
            </w:r>
          </w:p>
        </w:tc>
        <w:tc>
          <w:tcPr>
            <w:tcW w:w="0" w:type="auto"/>
            <w:hideMark/>
          </w:tcPr>
          <w:p w14:paraId="5E12B0D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Follow-up every 3 months for 1 year, then less frequently for 2 years, and annually thereafter.</w:t>
            </w:r>
          </w:p>
        </w:tc>
      </w:tr>
      <w:tr w:rsidR="00877BC2" w:rsidRPr="00E70EFD" w14:paraId="18F2E61B" w14:textId="77777777" w:rsidTr="00804F1C">
        <w:tc>
          <w:tcPr>
            <w:tcW w:w="0" w:type="auto"/>
            <w:hideMark/>
          </w:tcPr>
          <w:p w14:paraId="3F34F5BD"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Location</w:t>
            </w:r>
          </w:p>
        </w:tc>
        <w:tc>
          <w:tcPr>
            <w:tcW w:w="0" w:type="auto"/>
            <w:hideMark/>
          </w:tcPr>
          <w:p w14:paraId="6DC4260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Various institutions across the United States</w:t>
            </w:r>
          </w:p>
        </w:tc>
      </w:tr>
      <w:tr w:rsidR="00877BC2" w:rsidRPr="00E70EFD" w14:paraId="6184A714" w14:textId="77777777" w:rsidTr="00804F1C">
        <w:tc>
          <w:tcPr>
            <w:tcW w:w="0" w:type="auto"/>
            <w:hideMark/>
          </w:tcPr>
          <w:p w14:paraId="3972697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Risk Category</w:t>
            </w:r>
          </w:p>
        </w:tc>
        <w:tc>
          <w:tcPr>
            <w:tcW w:w="0" w:type="auto"/>
            <w:hideMark/>
          </w:tcPr>
          <w:p w14:paraId="75448A90"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Low-Risk (LR)</w:t>
            </w:r>
          </w:p>
        </w:tc>
      </w:tr>
      <w:tr w:rsidR="00877BC2" w:rsidRPr="00E70EFD" w14:paraId="5205CC4C" w14:textId="77777777" w:rsidTr="00804F1C">
        <w:tc>
          <w:tcPr>
            <w:tcW w:w="0" w:type="auto"/>
            <w:shd w:val="clear" w:color="auto" w:fill="E8E8E8" w:themeFill="background2"/>
            <w:hideMark/>
          </w:tcPr>
          <w:p w14:paraId="390A9257"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Study Number &amp; Title</w:t>
            </w:r>
          </w:p>
        </w:tc>
        <w:tc>
          <w:tcPr>
            <w:tcW w:w="0" w:type="auto"/>
            <w:shd w:val="clear" w:color="auto" w:fill="E8E8E8" w:themeFill="background2"/>
            <w:hideMark/>
          </w:tcPr>
          <w:p w14:paraId="659CF8E8"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NCT00354835 -</w:t>
            </w:r>
            <w:r w:rsidRPr="00E70EFD">
              <w:rPr>
                <w:rFonts w:asciiTheme="majorBidi" w:hAnsiTheme="majorBidi" w:cstheme="majorBidi"/>
                <w:sz w:val="20"/>
                <w:szCs w:val="20"/>
              </w:rPr>
              <w:t xml:space="preserve"> Randomized Study of Vincristine, Dactinomycin and Cyclophosphamide (VAC) Versus VAC Alternating </w:t>
            </w:r>
            <w:proofErr w:type="gramStart"/>
            <w:r w:rsidRPr="00E70EFD">
              <w:rPr>
                <w:rFonts w:asciiTheme="majorBidi" w:hAnsiTheme="majorBidi" w:cstheme="majorBidi"/>
                <w:sz w:val="20"/>
                <w:szCs w:val="20"/>
              </w:rPr>
              <w:t>With</w:t>
            </w:r>
            <w:proofErr w:type="gramEnd"/>
            <w:r w:rsidRPr="00E70EFD">
              <w:rPr>
                <w:rFonts w:asciiTheme="majorBidi" w:hAnsiTheme="majorBidi" w:cstheme="majorBidi"/>
                <w:sz w:val="20"/>
                <w:szCs w:val="20"/>
              </w:rPr>
              <w:t xml:space="preserve"> Vincristine and Irinotecan (VI) for Patients With Intermediate-Risk Rhabdomyosarcoma (RMS)</w:t>
            </w:r>
          </w:p>
        </w:tc>
      </w:tr>
      <w:tr w:rsidR="00877BC2" w:rsidRPr="00E70EFD" w14:paraId="465BBE39" w14:textId="77777777" w:rsidTr="00804F1C">
        <w:tc>
          <w:tcPr>
            <w:tcW w:w="0" w:type="auto"/>
            <w:hideMark/>
          </w:tcPr>
          <w:p w14:paraId="437B6EA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Category</w:t>
            </w:r>
          </w:p>
        </w:tc>
        <w:tc>
          <w:tcPr>
            <w:tcW w:w="0" w:type="auto"/>
            <w:hideMark/>
          </w:tcPr>
          <w:p w14:paraId="7150DDD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Details</w:t>
            </w:r>
          </w:p>
        </w:tc>
      </w:tr>
      <w:tr w:rsidR="00877BC2" w:rsidRPr="00E70EFD" w14:paraId="74742EFD" w14:textId="77777777" w:rsidTr="00804F1C">
        <w:tc>
          <w:tcPr>
            <w:tcW w:w="0" w:type="auto"/>
            <w:hideMark/>
          </w:tcPr>
          <w:p w14:paraId="489D7C3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Primary Objective</w:t>
            </w:r>
          </w:p>
        </w:tc>
        <w:tc>
          <w:tcPr>
            <w:tcW w:w="0" w:type="auto"/>
            <w:hideMark/>
          </w:tcPr>
          <w:p w14:paraId="5CB3B002"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Compare early response rates, failure-free survival, and overall survival with VAC vs VAC alternating with VI in intermediate-risk rhabdomyosarcoma.</w:t>
            </w:r>
          </w:p>
        </w:tc>
      </w:tr>
      <w:tr w:rsidR="00877BC2" w:rsidRPr="00E70EFD" w14:paraId="66C41688" w14:textId="77777777" w:rsidTr="00804F1C">
        <w:tc>
          <w:tcPr>
            <w:tcW w:w="0" w:type="auto"/>
            <w:hideMark/>
          </w:tcPr>
          <w:p w14:paraId="283BA030"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Secondary Objectives</w:t>
            </w:r>
          </w:p>
        </w:tc>
        <w:tc>
          <w:tcPr>
            <w:tcW w:w="0" w:type="auto"/>
            <w:hideMark/>
          </w:tcPr>
          <w:p w14:paraId="127D2A1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Compare FFS, local control, and survival with early vs delayed radiotherapy.</w:t>
            </w:r>
            <w:r w:rsidRPr="00E70EFD">
              <w:rPr>
                <w:rFonts w:asciiTheme="majorBidi" w:hAnsiTheme="majorBidi" w:cstheme="majorBidi"/>
                <w:sz w:val="20"/>
                <w:szCs w:val="20"/>
              </w:rPr>
              <w:br/>
              <w:t>II. Compare acute and late effects of VAC vs VAC/VI.</w:t>
            </w:r>
            <w:r w:rsidRPr="00E70EFD">
              <w:rPr>
                <w:rFonts w:asciiTheme="majorBidi" w:hAnsiTheme="majorBidi" w:cstheme="majorBidi"/>
                <w:sz w:val="20"/>
                <w:szCs w:val="20"/>
              </w:rPr>
              <w:br/>
              <w:t>III. Correlate gene expression and genotype with treatment outcomes.</w:t>
            </w:r>
          </w:p>
        </w:tc>
      </w:tr>
      <w:tr w:rsidR="00877BC2" w:rsidRPr="00E70EFD" w14:paraId="5F40BEC2" w14:textId="77777777" w:rsidTr="00804F1C">
        <w:tc>
          <w:tcPr>
            <w:tcW w:w="0" w:type="auto"/>
            <w:hideMark/>
          </w:tcPr>
          <w:p w14:paraId="0BA1545F"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Study Outline</w:t>
            </w:r>
          </w:p>
        </w:tc>
        <w:tc>
          <w:tcPr>
            <w:tcW w:w="0" w:type="auto"/>
            <w:hideMark/>
          </w:tcPr>
          <w:p w14:paraId="472E88B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Randomized to VAC or VAC/VI treatment.</w:t>
            </w:r>
            <w:r w:rsidRPr="00E70EFD">
              <w:rPr>
                <w:rFonts w:asciiTheme="majorBidi" w:hAnsiTheme="majorBidi" w:cstheme="majorBidi"/>
                <w:sz w:val="20"/>
                <w:szCs w:val="20"/>
              </w:rPr>
              <w:br/>
              <w:t>ARM I: VAC chemotherapy (vincristine, dactinomycin, cyclophosphamide).</w:t>
            </w:r>
            <w:r w:rsidRPr="00E70EFD">
              <w:rPr>
                <w:rFonts w:asciiTheme="majorBidi" w:hAnsiTheme="majorBidi" w:cstheme="majorBidi"/>
                <w:sz w:val="20"/>
                <w:szCs w:val="20"/>
              </w:rPr>
              <w:br/>
              <w:t>ARM II: VAC chemotherapy alternating with VI (vincristine, irinotecan).</w:t>
            </w:r>
          </w:p>
        </w:tc>
      </w:tr>
      <w:tr w:rsidR="00877BC2" w:rsidRPr="00E70EFD" w14:paraId="5014D476" w14:textId="77777777" w:rsidTr="00804F1C">
        <w:tc>
          <w:tcPr>
            <w:tcW w:w="0" w:type="auto"/>
            <w:hideMark/>
          </w:tcPr>
          <w:p w14:paraId="51E2FB3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Special Notes</w:t>
            </w:r>
          </w:p>
        </w:tc>
        <w:tc>
          <w:tcPr>
            <w:tcW w:w="0" w:type="auto"/>
            <w:hideMark/>
          </w:tcPr>
          <w:p w14:paraId="0BCCEFB6"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Radiotherapy starts in week 4, except for certain emergency cases.</w:t>
            </w:r>
            <w:r w:rsidRPr="00E70EFD">
              <w:rPr>
                <w:rFonts w:asciiTheme="majorBidi" w:hAnsiTheme="majorBidi" w:cstheme="majorBidi"/>
                <w:sz w:val="20"/>
                <w:szCs w:val="20"/>
              </w:rPr>
              <w:br/>
              <w:t>Customized local control plans for patients ≤ 24 months.</w:t>
            </w:r>
          </w:p>
        </w:tc>
      </w:tr>
      <w:tr w:rsidR="00877BC2" w:rsidRPr="00E70EFD" w14:paraId="4200DFDC" w14:textId="77777777" w:rsidTr="00804F1C">
        <w:tc>
          <w:tcPr>
            <w:tcW w:w="0" w:type="auto"/>
            <w:hideMark/>
          </w:tcPr>
          <w:p w14:paraId="4A278750"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Follow-Up</w:t>
            </w:r>
          </w:p>
        </w:tc>
        <w:tc>
          <w:tcPr>
            <w:tcW w:w="0" w:type="auto"/>
            <w:hideMark/>
          </w:tcPr>
          <w:p w14:paraId="697ED6BC"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Follow-up every 2-4 months for 4 years, then annually for 5-10 years.</w:t>
            </w:r>
          </w:p>
        </w:tc>
      </w:tr>
      <w:tr w:rsidR="00877BC2" w:rsidRPr="00E70EFD" w14:paraId="4A91534F" w14:textId="77777777" w:rsidTr="00804F1C">
        <w:tc>
          <w:tcPr>
            <w:tcW w:w="0" w:type="auto"/>
            <w:hideMark/>
          </w:tcPr>
          <w:p w14:paraId="3698D48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Location</w:t>
            </w:r>
          </w:p>
        </w:tc>
        <w:tc>
          <w:tcPr>
            <w:tcW w:w="0" w:type="auto"/>
            <w:hideMark/>
          </w:tcPr>
          <w:p w14:paraId="201E6EE7"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Various institutions across the United States and Europe</w:t>
            </w:r>
          </w:p>
        </w:tc>
      </w:tr>
      <w:tr w:rsidR="00877BC2" w:rsidRPr="00E70EFD" w14:paraId="6B6F58CF" w14:textId="77777777" w:rsidTr="00804F1C">
        <w:tc>
          <w:tcPr>
            <w:tcW w:w="0" w:type="auto"/>
            <w:hideMark/>
          </w:tcPr>
          <w:p w14:paraId="4435CACD"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Risk Category</w:t>
            </w:r>
          </w:p>
        </w:tc>
        <w:tc>
          <w:tcPr>
            <w:tcW w:w="0" w:type="auto"/>
            <w:hideMark/>
          </w:tcPr>
          <w:p w14:paraId="5EB1F0C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Intermediate-Risk (IR)</w:t>
            </w:r>
          </w:p>
        </w:tc>
      </w:tr>
      <w:tr w:rsidR="00877BC2" w:rsidRPr="00E70EFD" w14:paraId="0367296A" w14:textId="77777777" w:rsidTr="00804F1C">
        <w:tc>
          <w:tcPr>
            <w:tcW w:w="0" w:type="auto"/>
            <w:shd w:val="clear" w:color="auto" w:fill="E8E8E8" w:themeFill="background2"/>
            <w:hideMark/>
          </w:tcPr>
          <w:p w14:paraId="29AEFED4"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Study Number &amp; Title</w:t>
            </w:r>
          </w:p>
        </w:tc>
        <w:tc>
          <w:tcPr>
            <w:tcW w:w="0" w:type="auto"/>
            <w:shd w:val="clear" w:color="auto" w:fill="E8E8E8" w:themeFill="background2"/>
            <w:hideMark/>
          </w:tcPr>
          <w:p w14:paraId="3972C7C8" w14:textId="77777777" w:rsidR="00877BC2" w:rsidRPr="00E70EFD" w:rsidRDefault="00877BC2" w:rsidP="00804F1C">
            <w:pPr>
              <w:rPr>
                <w:rFonts w:asciiTheme="majorBidi" w:hAnsiTheme="majorBidi" w:cstheme="majorBidi"/>
                <w:b/>
                <w:bCs/>
                <w:sz w:val="20"/>
                <w:szCs w:val="20"/>
              </w:rPr>
            </w:pPr>
            <w:r w:rsidRPr="00E70EFD">
              <w:rPr>
                <w:rFonts w:asciiTheme="majorBidi" w:hAnsiTheme="majorBidi" w:cstheme="majorBidi"/>
                <w:b/>
                <w:bCs/>
                <w:sz w:val="20"/>
                <w:szCs w:val="20"/>
              </w:rPr>
              <w:t>NCT00354744 -</w:t>
            </w:r>
            <w:r w:rsidRPr="00E70EFD">
              <w:rPr>
                <w:rFonts w:asciiTheme="majorBidi" w:hAnsiTheme="majorBidi" w:cstheme="majorBidi"/>
                <w:sz w:val="20"/>
                <w:szCs w:val="20"/>
              </w:rPr>
              <w:t xml:space="preserve"> Intensive Multi-Agent Therapy, Including Dose-Compressed Cycles of </w:t>
            </w:r>
            <w:proofErr w:type="spellStart"/>
            <w:r w:rsidRPr="00E70EFD">
              <w:rPr>
                <w:rFonts w:asciiTheme="majorBidi" w:hAnsiTheme="majorBidi" w:cstheme="majorBidi"/>
                <w:sz w:val="20"/>
                <w:szCs w:val="20"/>
              </w:rPr>
              <w:t>Ifosfamide</w:t>
            </w:r>
            <w:proofErr w:type="spellEnd"/>
            <w:r w:rsidRPr="00E70EFD">
              <w:rPr>
                <w:rFonts w:asciiTheme="majorBidi" w:hAnsiTheme="majorBidi" w:cstheme="majorBidi"/>
                <w:sz w:val="20"/>
                <w:szCs w:val="20"/>
              </w:rPr>
              <w:t xml:space="preserve">/Etoposide (IE) and Vincristine/Doxorubicin/Cyclophosphamide (VDC) for Patients </w:t>
            </w:r>
            <w:proofErr w:type="gramStart"/>
            <w:r w:rsidRPr="00E70EFD">
              <w:rPr>
                <w:rFonts w:asciiTheme="majorBidi" w:hAnsiTheme="majorBidi" w:cstheme="majorBidi"/>
                <w:sz w:val="20"/>
                <w:szCs w:val="20"/>
              </w:rPr>
              <w:t>With</w:t>
            </w:r>
            <w:proofErr w:type="gramEnd"/>
            <w:r w:rsidRPr="00E70EFD">
              <w:rPr>
                <w:rFonts w:asciiTheme="majorBidi" w:hAnsiTheme="majorBidi" w:cstheme="majorBidi"/>
                <w:sz w:val="20"/>
                <w:szCs w:val="20"/>
              </w:rPr>
              <w:t xml:space="preserve"> High-Risk Rhabdomyosarcoma</w:t>
            </w:r>
          </w:p>
        </w:tc>
      </w:tr>
      <w:tr w:rsidR="00877BC2" w:rsidRPr="00E70EFD" w14:paraId="464ED752" w14:textId="77777777" w:rsidTr="00804F1C">
        <w:tc>
          <w:tcPr>
            <w:tcW w:w="0" w:type="auto"/>
            <w:hideMark/>
          </w:tcPr>
          <w:p w14:paraId="27AC6E3F"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Category</w:t>
            </w:r>
          </w:p>
        </w:tc>
        <w:tc>
          <w:tcPr>
            <w:tcW w:w="0" w:type="auto"/>
            <w:hideMark/>
          </w:tcPr>
          <w:p w14:paraId="1D0E3D3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Details</w:t>
            </w:r>
          </w:p>
        </w:tc>
      </w:tr>
      <w:tr w:rsidR="00877BC2" w:rsidRPr="00E70EFD" w14:paraId="41BA7235" w14:textId="77777777" w:rsidTr="00804F1C">
        <w:tc>
          <w:tcPr>
            <w:tcW w:w="0" w:type="auto"/>
            <w:hideMark/>
          </w:tcPr>
          <w:p w14:paraId="59A7400D"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Primary Objectives</w:t>
            </w:r>
          </w:p>
        </w:tc>
        <w:tc>
          <w:tcPr>
            <w:tcW w:w="0" w:type="auto"/>
            <w:hideMark/>
          </w:tcPr>
          <w:p w14:paraId="005115B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 xml:space="preserve">I. Improve early disease control with intensive therapy (vincristine, irinotecan, </w:t>
            </w:r>
            <w:proofErr w:type="spellStart"/>
            <w:r w:rsidRPr="00E70EFD">
              <w:rPr>
                <w:rFonts w:asciiTheme="majorBidi" w:hAnsiTheme="majorBidi" w:cstheme="majorBidi"/>
                <w:sz w:val="20"/>
                <w:szCs w:val="20"/>
              </w:rPr>
              <w:t>ifosfamide</w:t>
            </w:r>
            <w:proofErr w:type="spellEnd"/>
            <w:r w:rsidRPr="00E70EFD">
              <w:rPr>
                <w:rFonts w:asciiTheme="majorBidi" w:hAnsiTheme="majorBidi" w:cstheme="majorBidi"/>
                <w:sz w:val="20"/>
                <w:szCs w:val="20"/>
              </w:rPr>
              <w:t>, etoposide, doxorubicin, cyclophosphamide, dactinomycin).</w:t>
            </w:r>
            <w:r w:rsidRPr="00E70EFD">
              <w:rPr>
                <w:rFonts w:asciiTheme="majorBidi" w:hAnsiTheme="majorBidi" w:cstheme="majorBidi"/>
                <w:sz w:val="20"/>
                <w:szCs w:val="20"/>
              </w:rPr>
              <w:br/>
              <w:t>II. Assess side effects of concurrent irinotecan and radiotherapy.</w:t>
            </w:r>
          </w:p>
        </w:tc>
      </w:tr>
      <w:tr w:rsidR="00877BC2" w:rsidRPr="00E70EFD" w14:paraId="035C0A74" w14:textId="77777777" w:rsidTr="00804F1C">
        <w:tc>
          <w:tcPr>
            <w:tcW w:w="0" w:type="auto"/>
            <w:hideMark/>
          </w:tcPr>
          <w:p w14:paraId="28BC309A"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Secondary Objectives</w:t>
            </w:r>
          </w:p>
        </w:tc>
        <w:tc>
          <w:tcPr>
            <w:tcW w:w="0" w:type="auto"/>
            <w:hideMark/>
          </w:tcPr>
          <w:p w14:paraId="56A14189"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I. Expand data on irinotecan and vincristine responses.</w:t>
            </w:r>
            <w:r w:rsidRPr="00E70EFD">
              <w:rPr>
                <w:rFonts w:asciiTheme="majorBidi" w:hAnsiTheme="majorBidi" w:cstheme="majorBidi"/>
                <w:sz w:val="20"/>
                <w:szCs w:val="20"/>
              </w:rPr>
              <w:br/>
              <w:t>II. Validate gene expression for diagnostic and prognostic use.</w:t>
            </w:r>
          </w:p>
        </w:tc>
      </w:tr>
      <w:tr w:rsidR="00877BC2" w:rsidRPr="00E70EFD" w14:paraId="799094C1" w14:textId="77777777" w:rsidTr="00804F1C">
        <w:tc>
          <w:tcPr>
            <w:tcW w:w="0" w:type="auto"/>
            <w:hideMark/>
          </w:tcPr>
          <w:p w14:paraId="7D09A3E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Study Outline</w:t>
            </w:r>
          </w:p>
        </w:tc>
        <w:tc>
          <w:tcPr>
            <w:tcW w:w="0" w:type="auto"/>
            <w:hideMark/>
          </w:tcPr>
          <w:p w14:paraId="75E1FC14"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Prospective, nonrandomized, multicenter study.</w:t>
            </w:r>
            <w:r w:rsidRPr="00E70EFD">
              <w:rPr>
                <w:rFonts w:asciiTheme="majorBidi" w:hAnsiTheme="majorBidi" w:cstheme="majorBidi"/>
                <w:sz w:val="20"/>
                <w:szCs w:val="20"/>
              </w:rPr>
              <w:br/>
              <w:t xml:space="preserve">High-dose chemotherapy (vincristine, irinotecan, </w:t>
            </w:r>
            <w:proofErr w:type="spellStart"/>
            <w:r w:rsidRPr="00E70EFD">
              <w:rPr>
                <w:rFonts w:asciiTheme="majorBidi" w:hAnsiTheme="majorBidi" w:cstheme="majorBidi"/>
                <w:sz w:val="20"/>
                <w:szCs w:val="20"/>
              </w:rPr>
              <w:t>ifosfamide</w:t>
            </w:r>
            <w:proofErr w:type="spellEnd"/>
            <w:r w:rsidRPr="00E70EFD">
              <w:rPr>
                <w:rFonts w:asciiTheme="majorBidi" w:hAnsiTheme="majorBidi" w:cstheme="majorBidi"/>
                <w:sz w:val="20"/>
                <w:szCs w:val="20"/>
              </w:rPr>
              <w:t>, etoposide, doxorubicin, cyclophosphamide, dactinomycin) and radiotherapy.</w:t>
            </w:r>
          </w:p>
        </w:tc>
      </w:tr>
      <w:tr w:rsidR="00877BC2" w:rsidRPr="00E70EFD" w14:paraId="3E1DD7D9" w14:textId="77777777" w:rsidTr="00804F1C">
        <w:tc>
          <w:tcPr>
            <w:tcW w:w="0" w:type="auto"/>
            <w:hideMark/>
          </w:tcPr>
          <w:p w14:paraId="3AA7BC4E"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Projected Accrual</w:t>
            </w:r>
          </w:p>
        </w:tc>
        <w:tc>
          <w:tcPr>
            <w:tcW w:w="0" w:type="auto"/>
            <w:hideMark/>
          </w:tcPr>
          <w:p w14:paraId="4FEFD07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75 patients.</w:t>
            </w:r>
          </w:p>
        </w:tc>
      </w:tr>
      <w:tr w:rsidR="00877BC2" w:rsidRPr="00E70EFD" w14:paraId="7EAE5464" w14:textId="77777777" w:rsidTr="00804F1C">
        <w:tc>
          <w:tcPr>
            <w:tcW w:w="0" w:type="auto"/>
            <w:hideMark/>
          </w:tcPr>
          <w:p w14:paraId="19EE7F85"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lastRenderedPageBreak/>
              <w:t>Location</w:t>
            </w:r>
          </w:p>
        </w:tc>
        <w:tc>
          <w:tcPr>
            <w:tcW w:w="0" w:type="auto"/>
            <w:hideMark/>
          </w:tcPr>
          <w:p w14:paraId="6D9EC311"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Various institutions across the United States</w:t>
            </w:r>
          </w:p>
        </w:tc>
      </w:tr>
      <w:tr w:rsidR="00877BC2" w:rsidRPr="00E70EFD" w14:paraId="5CD695B4" w14:textId="77777777" w:rsidTr="00804F1C">
        <w:tc>
          <w:tcPr>
            <w:tcW w:w="0" w:type="auto"/>
            <w:hideMark/>
          </w:tcPr>
          <w:p w14:paraId="00E86BDB"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b/>
                <w:bCs/>
                <w:sz w:val="20"/>
                <w:szCs w:val="20"/>
              </w:rPr>
              <w:t>Risk Category</w:t>
            </w:r>
          </w:p>
        </w:tc>
        <w:tc>
          <w:tcPr>
            <w:tcW w:w="0" w:type="auto"/>
            <w:hideMark/>
          </w:tcPr>
          <w:p w14:paraId="6F7E56D8" w14:textId="77777777" w:rsidR="00877BC2" w:rsidRPr="00E70EFD" w:rsidRDefault="00877BC2" w:rsidP="00804F1C">
            <w:pPr>
              <w:rPr>
                <w:rFonts w:asciiTheme="majorBidi" w:hAnsiTheme="majorBidi" w:cstheme="majorBidi"/>
                <w:sz w:val="20"/>
                <w:szCs w:val="20"/>
              </w:rPr>
            </w:pPr>
            <w:r w:rsidRPr="00E70EFD">
              <w:rPr>
                <w:rFonts w:asciiTheme="majorBidi" w:hAnsiTheme="majorBidi" w:cstheme="majorBidi"/>
                <w:sz w:val="20"/>
                <w:szCs w:val="20"/>
              </w:rPr>
              <w:t>High-Risk (HR)</w:t>
            </w:r>
          </w:p>
        </w:tc>
      </w:tr>
    </w:tbl>
    <w:p w14:paraId="2F39FBB9" w14:textId="77777777" w:rsidR="00877BC2" w:rsidRPr="00E70EFD" w:rsidRDefault="00877BC2" w:rsidP="00877BC2">
      <w:pPr>
        <w:spacing w:line="480" w:lineRule="auto"/>
        <w:rPr>
          <w:rFonts w:asciiTheme="majorBidi" w:hAnsiTheme="majorBidi" w:cstheme="majorBidi"/>
          <w:sz w:val="20"/>
          <w:szCs w:val="20"/>
        </w:rPr>
      </w:pPr>
    </w:p>
    <w:p w14:paraId="5E7AC02C" w14:textId="77777777" w:rsidR="00877BC2" w:rsidRPr="00E70EFD" w:rsidRDefault="00877BC2" w:rsidP="00877BC2">
      <w:pPr>
        <w:spacing w:line="480" w:lineRule="auto"/>
        <w:rPr>
          <w:rFonts w:asciiTheme="majorBidi" w:hAnsiTheme="majorBidi" w:cstheme="majorBidi"/>
          <w:sz w:val="20"/>
          <w:szCs w:val="20"/>
        </w:rPr>
      </w:pPr>
    </w:p>
    <w:p w14:paraId="262B3B44" w14:textId="77777777" w:rsidR="00877BC2" w:rsidRPr="00BD0BEC" w:rsidRDefault="00877BC2" w:rsidP="00877BC2">
      <w:pPr>
        <w:spacing w:line="480" w:lineRule="auto"/>
        <w:rPr>
          <w:rFonts w:asciiTheme="majorBidi" w:hAnsiTheme="majorBidi" w:cstheme="majorBidi"/>
          <w:sz w:val="20"/>
          <w:szCs w:val="20"/>
        </w:rPr>
      </w:pPr>
    </w:p>
    <w:p w14:paraId="638D6D07" w14:textId="77777777" w:rsidR="00877BC2" w:rsidRPr="00BD0BEC" w:rsidRDefault="00877BC2" w:rsidP="00877BC2">
      <w:pPr>
        <w:spacing w:line="480" w:lineRule="auto"/>
        <w:rPr>
          <w:rFonts w:asciiTheme="majorBidi" w:hAnsiTheme="majorBidi" w:cstheme="majorBidi"/>
          <w:sz w:val="20"/>
          <w:szCs w:val="20"/>
        </w:rPr>
      </w:pPr>
    </w:p>
    <w:p w14:paraId="439C90C4" w14:textId="77777777" w:rsidR="00877BC2" w:rsidRPr="00BD0BEC" w:rsidRDefault="00877BC2" w:rsidP="00877BC2">
      <w:pPr>
        <w:spacing w:line="480" w:lineRule="auto"/>
        <w:rPr>
          <w:rFonts w:asciiTheme="majorBidi" w:hAnsiTheme="majorBidi" w:cstheme="majorBidi"/>
          <w:sz w:val="20"/>
          <w:szCs w:val="20"/>
        </w:rPr>
      </w:pPr>
    </w:p>
    <w:p w14:paraId="686A8645" w14:textId="77777777" w:rsidR="00877BC2" w:rsidRPr="00BD0BEC" w:rsidRDefault="00877BC2" w:rsidP="00877BC2">
      <w:pPr>
        <w:spacing w:line="480" w:lineRule="auto"/>
        <w:rPr>
          <w:rFonts w:asciiTheme="majorBidi" w:hAnsiTheme="majorBidi" w:cstheme="majorBidi"/>
          <w:sz w:val="20"/>
          <w:szCs w:val="20"/>
        </w:rPr>
      </w:pPr>
    </w:p>
    <w:p w14:paraId="59ADE174" w14:textId="77777777" w:rsidR="00877BC2" w:rsidRPr="00BD0BEC" w:rsidRDefault="00877BC2" w:rsidP="00877BC2">
      <w:pPr>
        <w:spacing w:line="480" w:lineRule="auto"/>
        <w:rPr>
          <w:rFonts w:asciiTheme="majorBidi" w:hAnsiTheme="majorBidi" w:cstheme="majorBidi"/>
          <w:sz w:val="20"/>
          <w:szCs w:val="20"/>
        </w:rPr>
      </w:pPr>
    </w:p>
    <w:p w14:paraId="7EAEF78D" w14:textId="77777777" w:rsidR="00877BC2" w:rsidRPr="00BD0BEC" w:rsidRDefault="00877BC2" w:rsidP="00877BC2">
      <w:pPr>
        <w:spacing w:line="480" w:lineRule="auto"/>
        <w:rPr>
          <w:rFonts w:asciiTheme="majorBidi" w:hAnsiTheme="majorBidi" w:cstheme="majorBidi"/>
          <w:sz w:val="20"/>
          <w:szCs w:val="20"/>
        </w:rPr>
      </w:pPr>
    </w:p>
    <w:p w14:paraId="195BE951" w14:textId="77777777" w:rsidR="00877BC2" w:rsidRPr="00BD0BEC" w:rsidRDefault="00877BC2" w:rsidP="00877BC2">
      <w:pPr>
        <w:spacing w:line="480" w:lineRule="auto"/>
        <w:rPr>
          <w:rFonts w:asciiTheme="majorBidi" w:hAnsiTheme="majorBidi" w:cstheme="majorBidi"/>
          <w:sz w:val="20"/>
          <w:szCs w:val="20"/>
        </w:rPr>
      </w:pPr>
    </w:p>
    <w:p w14:paraId="76127D19" w14:textId="77777777" w:rsidR="00877BC2" w:rsidRPr="00BD0BEC" w:rsidRDefault="00877BC2" w:rsidP="00877BC2">
      <w:pPr>
        <w:spacing w:line="480" w:lineRule="auto"/>
        <w:rPr>
          <w:rFonts w:asciiTheme="majorBidi" w:hAnsiTheme="majorBidi" w:cstheme="majorBidi"/>
          <w:sz w:val="20"/>
          <w:szCs w:val="20"/>
        </w:rPr>
      </w:pPr>
    </w:p>
    <w:p w14:paraId="3E561C85" w14:textId="77777777" w:rsidR="00877BC2" w:rsidRPr="00BD0BEC" w:rsidRDefault="00877BC2" w:rsidP="00877BC2">
      <w:pPr>
        <w:spacing w:line="480" w:lineRule="auto"/>
        <w:rPr>
          <w:rFonts w:asciiTheme="majorBidi" w:hAnsiTheme="majorBidi" w:cstheme="majorBidi"/>
          <w:sz w:val="20"/>
          <w:szCs w:val="20"/>
        </w:rPr>
      </w:pPr>
    </w:p>
    <w:p w14:paraId="0890FEA6" w14:textId="77777777" w:rsidR="00877BC2" w:rsidRPr="00BD0BEC" w:rsidRDefault="00877BC2" w:rsidP="00877BC2">
      <w:pPr>
        <w:spacing w:line="480" w:lineRule="auto"/>
        <w:rPr>
          <w:rFonts w:asciiTheme="majorBidi" w:hAnsiTheme="majorBidi" w:cstheme="majorBidi"/>
          <w:sz w:val="20"/>
          <w:szCs w:val="20"/>
        </w:rPr>
      </w:pPr>
    </w:p>
    <w:p w14:paraId="3D85E219" w14:textId="77777777" w:rsidR="00877BC2" w:rsidRPr="00E70EFD" w:rsidRDefault="00877BC2" w:rsidP="00877BC2">
      <w:pPr>
        <w:spacing w:line="480" w:lineRule="auto"/>
        <w:rPr>
          <w:rFonts w:asciiTheme="majorBidi" w:hAnsiTheme="majorBidi" w:cstheme="majorBidi"/>
          <w:sz w:val="20"/>
          <w:szCs w:val="20"/>
        </w:rPr>
      </w:pPr>
    </w:p>
    <w:p w14:paraId="543FB0F9" w14:textId="77777777" w:rsidR="00877BC2" w:rsidRPr="00E70EFD" w:rsidRDefault="00877BC2" w:rsidP="00877BC2">
      <w:pPr>
        <w:spacing w:line="480" w:lineRule="auto"/>
        <w:rPr>
          <w:rFonts w:asciiTheme="majorBidi" w:hAnsiTheme="majorBidi" w:cstheme="majorBidi"/>
          <w:sz w:val="20"/>
          <w:szCs w:val="20"/>
        </w:rPr>
      </w:pPr>
    </w:p>
    <w:p w14:paraId="2A751CC5" w14:textId="77777777" w:rsidR="00877BC2" w:rsidRPr="00E70EFD" w:rsidRDefault="00877BC2" w:rsidP="00877BC2">
      <w:pPr>
        <w:spacing w:line="480" w:lineRule="auto"/>
        <w:rPr>
          <w:rFonts w:asciiTheme="majorBidi" w:hAnsiTheme="majorBidi" w:cstheme="majorBidi"/>
          <w:sz w:val="20"/>
          <w:szCs w:val="20"/>
        </w:rPr>
      </w:pPr>
    </w:p>
    <w:p w14:paraId="69DD8303" w14:textId="77777777" w:rsidR="00877BC2" w:rsidRPr="00E70EFD" w:rsidRDefault="00877BC2" w:rsidP="00877BC2">
      <w:pPr>
        <w:spacing w:line="480" w:lineRule="auto"/>
        <w:rPr>
          <w:rFonts w:asciiTheme="majorBidi" w:hAnsiTheme="majorBidi" w:cstheme="majorBidi"/>
          <w:b/>
          <w:bCs/>
          <w:sz w:val="20"/>
          <w:szCs w:val="20"/>
        </w:rPr>
      </w:pPr>
      <w:r w:rsidRPr="00E70EFD">
        <w:rPr>
          <w:rFonts w:asciiTheme="majorBidi" w:hAnsiTheme="majorBidi" w:cstheme="majorBidi"/>
          <w:b/>
          <w:bCs/>
          <w:sz w:val="20"/>
          <w:szCs w:val="20"/>
          <w:u w:val="single"/>
        </w:rPr>
        <w:lastRenderedPageBreak/>
        <w:t>Supplementary Figure 1:</w:t>
      </w:r>
      <w:r w:rsidRPr="00E70EFD">
        <w:rPr>
          <w:rFonts w:asciiTheme="majorBidi" w:hAnsiTheme="majorBidi" w:cstheme="majorBidi"/>
          <w:b/>
          <w:bCs/>
          <w:sz w:val="20"/>
          <w:szCs w:val="20"/>
        </w:rPr>
        <w:t xml:space="preserve"> </w:t>
      </w:r>
      <w:r w:rsidRPr="00BD0BEC">
        <w:rPr>
          <w:rFonts w:asciiTheme="majorBidi" w:hAnsiTheme="majorBidi" w:cstheme="majorBidi"/>
          <w:b/>
          <w:noProof/>
          <w:sz w:val="20"/>
          <w:szCs w:val="20"/>
        </w:rPr>
        <w:drawing>
          <wp:inline distT="0" distB="0" distL="0" distR="0" wp14:anchorId="08BCCE8F" wp14:editId="4E4CFC4B">
            <wp:extent cx="5848350" cy="2190750"/>
            <wp:effectExtent l="0" t="0" r="0" b="0"/>
            <wp:docPr id="799835018" name="Picture 4" descr="A comparison of graph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35018" name="Picture 4" descr="A comparison of graphs and numbers&#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8350" cy="2190750"/>
                    </a:xfrm>
                    <a:prstGeom prst="rect">
                      <a:avLst/>
                    </a:prstGeom>
                    <a:noFill/>
                    <a:ln>
                      <a:noFill/>
                    </a:ln>
                  </pic:spPr>
                </pic:pic>
              </a:graphicData>
            </a:graphic>
          </wp:inline>
        </w:drawing>
      </w:r>
    </w:p>
    <w:p w14:paraId="71F7F4EF" w14:textId="77777777" w:rsidR="00877BC2" w:rsidRPr="00E70EFD" w:rsidRDefault="00877BC2" w:rsidP="00877BC2">
      <w:pPr>
        <w:spacing w:line="480" w:lineRule="auto"/>
        <w:rPr>
          <w:rFonts w:asciiTheme="majorBidi" w:hAnsiTheme="majorBidi" w:cstheme="majorBidi"/>
          <w:sz w:val="20"/>
          <w:szCs w:val="20"/>
        </w:rPr>
      </w:pPr>
    </w:p>
    <w:p w14:paraId="507C75C6" w14:textId="77777777" w:rsidR="00877BC2" w:rsidRPr="00E70EFD" w:rsidRDefault="00877BC2" w:rsidP="00877BC2">
      <w:pPr>
        <w:spacing w:line="480" w:lineRule="auto"/>
        <w:rPr>
          <w:rFonts w:asciiTheme="majorBidi" w:hAnsiTheme="majorBidi" w:cstheme="majorBidi"/>
          <w:b/>
          <w:bCs/>
          <w:sz w:val="20"/>
          <w:szCs w:val="20"/>
        </w:rPr>
      </w:pPr>
    </w:p>
    <w:p w14:paraId="51BF1DFF" w14:textId="77777777" w:rsidR="00877BC2" w:rsidRPr="00E70EFD" w:rsidRDefault="00877BC2" w:rsidP="00877BC2">
      <w:pPr>
        <w:spacing w:line="480" w:lineRule="auto"/>
        <w:rPr>
          <w:rFonts w:asciiTheme="majorBidi" w:hAnsiTheme="majorBidi" w:cstheme="majorBidi"/>
          <w:sz w:val="20"/>
          <w:szCs w:val="20"/>
        </w:rPr>
      </w:pPr>
    </w:p>
    <w:p w14:paraId="2BEE9D26" w14:textId="77777777" w:rsidR="00877BC2" w:rsidRPr="00E70EFD" w:rsidRDefault="00877BC2" w:rsidP="00877BC2">
      <w:pPr>
        <w:spacing w:line="480" w:lineRule="auto"/>
        <w:rPr>
          <w:rFonts w:asciiTheme="majorBidi" w:hAnsiTheme="majorBidi" w:cstheme="majorBidi"/>
          <w:sz w:val="20"/>
          <w:szCs w:val="20"/>
        </w:rPr>
      </w:pPr>
    </w:p>
    <w:p w14:paraId="7C0F88A7" w14:textId="77777777" w:rsidR="00877BC2" w:rsidRPr="00E70EFD" w:rsidRDefault="00877BC2" w:rsidP="00877BC2">
      <w:pPr>
        <w:spacing w:line="480" w:lineRule="auto"/>
        <w:rPr>
          <w:rFonts w:asciiTheme="majorBidi" w:hAnsiTheme="majorBidi" w:cstheme="majorBidi"/>
          <w:sz w:val="20"/>
          <w:szCs w:val="20"/>
        </w:rPr>
      </w:pPr>
    </w:p>
    <w:p w14:paraId="7AFA644D" w14:textId="77777777" w:rsidR="00877BC2" w:rsidRPr="00E70EFD" w:rsidRDefault="00877BC2" w:rsidP="00877BC2">
      <w:pPr>
        <w:spacing w:line="480" w:lineRule="auto"/>
        <w:rPr>
          <w:rFonts w:asciiTheme="majorBidi" w:hAnsiTheme="majorBidi" w:cstheme="majorBidi"/>
          <w:sz w:val="20"/>
          <w:szCs w:val="20"/>
        </w:rPr>
      </w:pPr>
    </w:p>
    <w:p w14:paraId="72E6E511" w14:textId="77777777" w:rsidR="00877BC2" w:rsidRPr="00E70EFD" w:rsidRDefault="00877BC2" w:rsidP="00877BC2">
      <w:pPr>
        <w:spacing w:line="480" w:lineRule="auto"/>
        <w:rPr>
          <w:rFonts w:asciiTheme="majorBidi" w:hAnsiTheme="majorBidi" w:cstheme="majorBidi"/>
          <w:sz w:val="20"/>
          <w:szCs w:val="20"/>
        </w:rPr>
      </w:pPr>
    </w:p>
    <w:p w14:paraId="1EEEAA33" w14:textId="77777777" w:rsidR="00877BC2" w:rsidRPr="00E70EFD" w:rsidRDefault="00877BC2" w:rsidP="00877BC2">
      <w:pPr>
        <w:spacing w:line="480" w:lineRule="auto"/>
        <w:rPr>
          <w:rFonts w:asciiTheme="majorBidi" w:hAnsiTheme="majorBidi" w:cstheme="majorBidi"/>
          <w:sz w:val="20"/>
          <w:szCs w:val="20"/>
        </w:rPr>
      </w:pPr>
    </w:p>
    <w:p w14:paraId="45042518" w14:textId="77777777" w:rsidR="00877BC2" w:rsidRPr="00E70EFD" w:rsidRDefault="00877BC2" w:rsidP="00877BC2">
      <w:pPr>
        <w:spacing w:line="480" w:lineRule="auto"/>
        <w:rPr>
          <w:rFonts w:asciiTheme="majorBidi" w:hAnsiTheme="majorBidi" w:cstheme="majorBidi"/>
          <w:sz w:val="20"/>
          <w:szCs w:val="20"/>
        </w:rPr>
      </w:pPr>
    </w:p>
    <w:p w14:paraId="4B0FD6E5" w14:textId="77777777" w:rsidR="00877BC2" w:rsidRPr="00E70EFD" w:rsidRDefault="00877BC2" w:rsidP="00877BC2">
      <w:pPr>
        <w:spacing w:line="480" w:lineRule="auto"/>
        <w:rPr>
          <w:rFonts w:asciiTheme="majorBidi" w:hAnsiTheme="majorBidi" w:cstheme="majorBidi"/>
          <w:sz w:val="20"/>
          <w:szCs w:val="20"/>
        </w:rPr>
      </w:pPr>
    </w:p>
    <w:p w14:paraId="39B3EC7A" w14:textId="77777777" w:rsidR="00877BC2" w:rsidRPr="00E70EFD" w:rsidRDefault="00877BC2" w:rsidP="00877BC2">
      <w:pPr>
        <w:spacing w:line="480" w:lineRule="auto"/>
        <w:rPr>
          <w:rFonts w:asciiTheme="majorBidi" w:hAnsiTheme="majorBidi" w:cstheme="majorBidi"/>
          <w:sz w:val="20"/>
          <w:szCs w:val="20"/>
        </w:rPr>
      </w:pPr>
    </w:p>
    <w:p w14:paraId="4683E3A1" w14:textId="77777777" w:rsidR="00877BC2" w:rsidRPr="00E70EFD" w:rsidRDefault="00877BC2" w:rsidP="00877BC2">
      <w:pPr>
        <w:spacing w:line="480" w:lineRule="auto"/>
        <w:rPr>
          <w:rFonts w:asciiTheme="majorBidi" w:hAnsiTheme="majorBidi" w:cstheme="majorBidi"/>
          <w:sz w:val="20"/>
          <w:szCs w:val="20"/>
        </w:rPr>
      </w:pPr>
    </w:p>
    <w:p w14:paraId="4CC07320" w14:textId="77777777" w:rsidR="00877BC2" w:rsidRPr="00E70EFD" w:rsidRDefault="00877BC2" w:rsidP="00877BC2">
      <w:pPr>
        <w:spacing w:line="480" w:lineRule="auto"/>
        <w:rPr>
          <w:rFonts w:asciiTheme="majorBidi" w:hAnsiTheme="majorBidi" w:cstheme="majorBidi"/>
          <w:sz w:val="20"/>
          <w:szCs w:val="20"/>
        </w:rPr>
      </w:pPr>
    </w:p>
    <w:p w14:paraId="34DE7934" w14:textId="77777777" w:rsidR="00384CC2" w:rsidRDefault="00384CC2"/>
    <w:sectPr w:rsidR="00384CC2" w:rsidSect="00877BC2">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C2"/>
    <w:rsid w:val="00384CC2"/>
    <w:rsid w:val="00524F0B"/>
    <w:rsid w:val="00877BC2"/>
    <w:rsid w:val="00895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986A"/>
  <w15:chartTrackingRefBased/>
  <w15:docId w15:val="{0C34657A-7353-4ECB-867D-1329D7ED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C2"/>
  </w:style>
  <w:style w:type="paragraph" w:styleId="Heading1">
    <w:name w:val="heading 1"/>
    <w:basedOn w:val="Normal"/>
    <w:next w:val="Normal"/>
    <w:link w:val="Heading1Char"/>
    <w:uiPriority w:val="9"/>
    <w:qFormat/>
    <w:rsid w:val="00877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BC2"/>
    <w:rPr>
      <w:rFonts w:eastAsiaTheme="majorEastAsia" w:cstheme="majorBidi"/>
      <w:color w:val="272727" w:themeColor="text1" w:themeTint="D8"/>
    </w:rPr>
  </w:style>
  <w:style w:type="paragraph" w:styleId="Title">
    <w:name w:val="Title"/>
    <w:basedOn w:val="Normal"/>
    <w:next w:val="Normal"/>
    <w:link w:val="TitleChar"/>
    <w:uiPriority w:val="10"/>
    <w:qFormat/>
    <w:rsid w:val="00877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BC2"/>
    <w:pPr>
      <w:spacing w:before="160"/>
      <w:jc w:val="center"/>
    </w:pPr>
    <w:rPr>
      <w:i/>
      <w:iCs/>
      <w:color w:val="404040" w:themeColor="text1" w:themeTint="BF"/>
    </w:rPr>
  </w:style>
  <w:style w:type="character" w:customStyle="1" w:styleId="QuoteChar">
    <w:name w:val="Quote Char"/>
    <w:basedOn w:val="DefaultParagraphFont"/>
    <w:link w:val="Quote"/>
    <w:uiPriority w:val="29"/>
    <w:rsid w:val="00877BC2"/>
    <w:rPr>
      <w:i/>
      <w:iCs/>
      <w:color w:val="404040" w:themeColor="text1" w:themeTint="BF"/>
    </w:rPr>
  </w:style>
  <w:style w:type="paragraph" w:styleId="ListParagraph">
    <w:name w:val="List Paragraph"/>
    <w:basedOn w:val="Normal"/>
    <w:uiPriority w:val="34"/>
    <w:qFormat/>
    <w:rsid w:val="00877BC2"/>
    <w:pPr>
      <w:ind w:left="720"/>
      <w:contextualSpacing/>
    </w:pPr>
  </w:style>
  <w:style w:type="character" w:styleId="IntenseEmphasis">
    <w:name w:val="Intense Emphasis"/>
    <w:basedOn w:val="DefaultParagraphFont"/>
    <w:uiPriority w:val="21"/>
    <w:qFormat/>
    <w:rsid w:val="00877BC2"/>
    <w:rPr>
      <w:i/>
      <w:iCs/>
      <w:color w:val="0F4761" w:themeColor="accent1" w:themeShade="BF"/>
    </w:rPr>
  </w:style>
  <w:style w:type="paragraph" w:styleId="IntenseQuote">
    <w:name w:val="Intense Quote"/>
    <w:basedOn w:val="Normal"/>
    <w:next w:val="Normal"/>
    <w:link w:val="IntenseQuoteChar"/>
    <w:uiPriority w:val="30"/>
    <w:qFormat/>
    <w:rsid w:val="00877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BC2"/>
    <w:rPr>
      <w:i/>
      <w:iCs/>
      <w:color w:val="0F4761" w:themeColor="accent1" w:themeShade="BF"/>
    </w:rPr>
  </w:style>
  <w:style w:type="character" w:styleId="IntenseReference">
    <w:name w:val="Intense Reference"/>
    <w:basedOn w:val="DefaultParagraphFont"/>
    <w:uiPriority w:val="32"/>
    <w:qFormat/>
    <w:rsid w:val="00877BC2"/>
    <w:rPr>
      <w:b/>
      <w:bCs/>
      <w:smallCaps/>
      <w:color w:val="0F4761" w:themeColor="accent1" w:themeShade="BF"/>
      <w:spacing w:val="5"/>
    </w:rPr>
  </w:style>
  <w:style w:type="table" w:styleId="TableGrid">
    <w:name w:val="Table Grid"/>
    <w:basedOn w:val="TableNormal"/>
    <w:uiPriority w:val="39"/>
    <w:rsid w:val="00877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7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2144</Words>
  <Characters>12222</Characters>
  <Application>Microsoft Office Word</Application>
  <DocSecurity>0</DocSecurity>
  <Lines>101</Lines>
  <Paragraphs>28</Paragraphs>
  <ScaleCrop>false</ScaleCrop>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malshy</dc:creator>
  <cp:keywords/>
  <dc:description/>
  <cp:lastModifiedBy>kamil malshy</cp:lastModifiedBy>
  <cp:revision>1</cp:revision>
  <dcterms:created xsi:type="dcterms:W3CDTF">2024-08-21T18:26:00Z</dcterms:created>
  <dcterms:modified xsi:type="dcterms:W3CDTF">2024-08-21T18:27:00Z</dcterms:modified>
</cp:coreProperties>
</file>