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46BC" w:rsidRPr="00F346BC" w:rsidRDefault="00F346BC" w:rsidP="00F346BC">
      <w:pPr>
        <w:spacing w:after="0" w:line="360" w:lineRule="auto"/>
        <w:jc w:val="both"/>
        <w:rPr>
          <w:rFonts w:ascii="Times New Roman" w:eastAsia="Times New Roman" w:hAnsi="Times New Roman" w:cs="Times New Roman"/>
          <w:sz w:val="24"/>
          <w:szCs w:val="24"/>
          <w:lang w:val="en-US" w:eastAsia="es-ES_tradnl"/>
        </w:rPr>
      </w:pPr>
      <w:r w:rsidRPr="00F346BC">
        <w:rPr>
          <w:rFonts w:ascii="Times New Roman" w:eastAsia="Times New Roman" w:hAnsi="Times New Roman" w:cs="Times New Roman"/>
          <w:b/>
          <w:sz w:val="24"/>
          <w:szCs w:val="24"/>
          <w:lang w:val="en-US" w:eastAsia="es-ES_tradnl"/>
        </w:rPr>
        <w:t xml:space="preserve">Table S6. </w:t>
      </w:r>
      <w:r w:rsidRPr="00F346BC">
        <w:rPr>
          <w:rFonts w:ascii="Times New Roman" w:eastAsia="Times New Roman" w:hAnsi="Times New Roman" w:cs="Times New Roman"/>
          <w:sz w:val="24"/>
          <w:szCs w:val="24"/>
          <w:lang w:val="en-US" w:eastAsia="es-ES_tradnl"/>
        </w:rPr>
        <w:t xml:space="preserve">List of some of the main enriched Gene Ontology (GO) terms within the biological processes (BP) annotated by the discriminant proteins (DP) selected by the </w:t>
      </w:r>
      <w:proofErr w:type="spellStart"/>
      <w:r w:rsidRPr="00F346BC">
        <w:rPr>
          <w:rFonts w:ascii="Times New Roman" w:eastAsia="Times New Roman" w:hAnsi="Times New Roman" w:cs="Times New Roman"/>
          <w:sz w:val="24"/>
          <w:szCs w:val="24"/>
          <w:lang w:val="en-US" w:eastAsia="es-ES_tradnl"/>
        </w:rPr>
        <w:t>sPLS</w:t>
      </w:r>
      <w:proofErr w:type="spellEnd"/>
      <w:r w:rsidRPr="00F346BC">
        <w:rPr>
          <w:rFonts w:ascii="Times New Roman" w:eastAsia="Times New Roman" w:hAnsi="Times New Roman" w:cs="Times New Roman"/>
          <w:sz w:val="24"/>
          <w:szCs w:val="24"/>
          <w:lang w:val="en-US" w:eastAsia="es-ES_tradnl"/>
        </w:rPr>
        <w:t>-DA with the highest abundance in the control group.</w:t>
      </w:r>
    </w:p>
    <w:tbl>
      <w:tblPr>
        <w:tblW w:w="14006" w:type="dxa"/>
        <w:tblCellMar>
          <w:left w:w="70" w:type="dxa"/>
          <w:right w:w="70" w:type="dxa"/>
        </w:tblCellMar>
        <w:tblLook w:val="04A0" w:firstRow="1" w:lastRow="0" w:firstColumn="1" w:lastColumn="0" w:noHBand="0" w:noVBand="1"/>
      </w:tblPr>
      <w:tblGrid>
        <w:gridCol w:w="1289"/>
        <w:gridCol w:w="1876"/>
        <w:gridCol w:w="946"/>
        <w:gridCol w:w="1418"/>
        <w:gridCol w:w="8477"/>
      </w:tblGrid>
      <w:tr w:rsidR="00F346BC" w:rsidRPr="00F346BC" w:rsidTr="009558FF">
        <w:trPr>
          <w:trHeight w:val="300"/>
        </w:trPr>
        <w:tc>
          <w:tcPr>
            <w:tcW w:w="1289" w:type="dxa"/>
            <w:tcBorders>
              <w:top w:val="nil"/>
              <w:left w:val="nil"/>
              <w:bottom w:val="single" w:sz="12" w:space="0" w:color="FFFFFF"/>
              <w:right w:val="single" w:sz="4" w:space="0" w:color="FFFFFF"/>
            </w:tcBorders>
            <w:shd w:val="clear" w:color="A5A5A5" w:fill="A5A5A5"/>
            <w:noWrap/>
            <w:hideMark/>
          </w:tcPr>
          <w:p w:rsidR="00F346BC" w:rsidRPr="00F346BC" w:rsidRDefault="00F346BC" w:rsidP="00F346BC">
            <w:pPr>
              <w:spacing w:after="0" w:line="360" w:lineRule="auto"/>
              <w:jc w:val="center"/>
              <w:rPr>
                <w:rFonts w:ascii="Times New Roman" w:eastAsia="Times New Roman" w:hAnsi="Times New Roman" w:cs="Times New Roman"/>
                <w:b/>
                <w:bCs/>
                <w:lang w:val="en-US" w:eastAsia="es-ES_tradnl"/>
              </w:rPr>
            </w:pPr>
            <w:r w:rsidRPr="00F346BC">
              <w:rPr>
                <w:rFonts w:ascii="Times New Roman" w:eastAsia="Times New Roman" w:hAnsi="Times New Roman" w:cs="Times New Roman"/>
                <w:b/>
                <w:bCs/>
                <w:lang w:val="en-US" w:eastAsia="es-ES_tradnl"/>
              </w:rPr>
              <w:t>GO Term BP</w:t>
            </w:r>
          </w:p>
        </w:tc>
        <w:tc>
          <w:tcPr>
            <w:tcW w:w="1876" w:type="dxa"/>
            <w:tcBorders>
              <w:top w:val="nil"/>
              <w:left w:val="nil"/>
              <w:bottom w:val="single" w:sz="12" w:space="0" w:color="FFFFFF"/>
              <w:right w:val="single" w:sz="4" w:space="0" w:color="FFFFFF"/>
            </w:tcBorders>
            <w:shd w:val="clear" w:color="A5A5A5" w:fill="A5A5A5"/>
            <w:noWrap/>
            <w:hideMark/>
          </w:tcPr>
          <w:p w:rsidR="00F346BC" w:rsidRPr="00F346BC" w:rsidRDefault="00F346BC" w:rsidP="00F346BC">
            <w:pPr>
              <w:spacing w:after="0" w:line="360" w:lineRule="auto"/>
              <w:jc w:val="center"/>
              <w:rPr>
                <w:rFonts w:ascii="Times New Roman" w:eastAsia="Times New Roman" w:hAnsi="Times New Roman" w:cs="Times New Roman"/>
                <w:b/>
                <w:bCs/>
                <w:lang w:val="en-US" w:eastAsia="es-ES_tradnl"/>
              </w:rPr>
            </w:pPr>
            <w:r w:rsidRPr="00F346BC">
              <w:rPr>
                <w:rFonts w:ascii="Times New Roman" w:eastAsia="Times New Roman" w:hAnsi="Times New Roman" w:cs="Times New Roman"/>
                <w:b/>
                <w:bCs/>
                <w:lang w:val="en-US" w:eastAsia="es-ES_tradnl"/>
              </w:rPr>
              <w:t>GO Term Description</w:t>
            </w:r>
          </w:p>
        </w:tc>
        <w:tc>
          <w:tcPr>
            <w:tcW w:w="946" w:type="dxa"/>
            <w:tcBorders>
              <w:top w:val="nil"/>
              <w:left w:val="nil"/>
              <w:bottom w:val="single" w:sz="12" w:space="0" w:color="FFFFFF"/>
              <w:right w:val="single" w:sz="4" w:space="0" w:color="FFFFFF"/>
            </w:tcBorders>
            <w:shd w:val="clear" w:color="A5A5A5" w:fill="A5A5A5"/>
            <w:noWrap/>
            <w:hideMark/>
          </w:tcPr>
          <w:p w:rsidR="00F346BC" w:rsidRPr="00F346BC" w:rsidRDefault="00F346BC" w:rsidP="00F346BC">
            <w:pPr>
              <w:spacing w:after="0" w:line="360" w:lineRule="auto"/>
              <w:jc w:val="center"/>
              <w:rPr>
                <w:rFonts w:ascii="Times New Roman" w:eastAsia="Times New Roman" w:hAnsi="Times New Roman" w:cs="Times New Roman"/>
                <w:b/>
                <w:bCs/>
                <w:lang w:val="en-US" w:eastAsia="es-ES_tradnl"/>
              </w:rPr>
            </w:pPr>
            <w:r w:rsidRPr="00F346BC">
              <w:rPr>
                <w:rFonts w:ascii="Times New Roman" w:eastAsia="Times New Roman" w:hAnsi="Times New Roman" w:cs="Times New Roman"/>
                <w:b/>
                <w:bCs/>
                <w:lang w:val="en-US" w:eastAsia="es-ES_tradnl"/>
              </w:rPr>
              <w:t>p-value (FDR)</w:t>
            </w:r>
          </w:p>
        </w:tc>
        <w:tc>
          <w:tcPr>
            <w:tcW w:w="1418" w:type="dxa"/>
            <w:tcBorders>
              <w:top w:val="nil"/>
              <w:left w:val="nil"/>
              <w:bottom w:val="single" w:sz="12" w:space="0" w:color="FFFFFF"/>
              <w:right w:val="single" w:sz="4" w:space="0" w:color="FFFFFF"/>
            </w:tcBorders>
            <w:shd w:val="clear" w:color="A5A5A5" w:fill="A5A5A5"/>
            <w:noWrap/>
            <w:hideMark/>
          </w:tcPr>
          <w:p w:rsidR="00F346BC" w:rsidRPr="00F346BC" w:rsidRDefault="00F346BC" w:rsidP="00F346BC">
            <w:pPr>
              <w:spacing w:after="0" w:line="360" w:lineRule="auto"/>
              <w:jc w:val="center"/>
              <w:rPr>
                <w:rFonts w:ascii="Times New Roman" w:eastAsia="Times New Roman" w:hAnsi="Times New Roman" w:cs="Times New Roman"/>
                <w:b/>
                <w:bCs/>
                <w:lang w:val="en-US" w:eastAsia="es-ES_tradnl"/>
              </w:rPr>
            </w:pPr>
            <w:r w:rsidRPr="00F346BC">
              <w:rPr>
                <w:rFonts w:ascii="Times New Roman" w:eastAsia="Times New Roman" w:hAnsi="Times New Roman" w:cs="Times New Roman"/>
                <w:b/>
                <w:bCs/>
                <w:lang w:val="en-US" w:eastAsia="es-ES_tradnl"/>
              </w:rPr>
              <w:t>-log10(FDR)</w:t>
            </w:r>
          </w:p>
        </w:tc>
        <w:tc>
          <w:tcPr>
            <w:tcW w:w="8477" w:type="dxa"/>
            <w:tcBorders>
              <w:top w:val="nil"/>
              <w:left w:val="nil"/>
              <w:bottom w:val="single" w:sz="12" w:space="0" w:color="FFFFFF"/>
              <w:right w:val="nil"/>
            </w:tcBorders>
            <w:shd w:val="clear" w:color="A5A5A5" w:fill="A5A5A5"/>
            <w:noWrap/>
            <w:hideMark/>
          </w:tcPr>
          <w:p w:rsidR="00F346BC" w:rsidRPr="00F346BC" w:rsidRDefault="00F346BC" w:rsidP="00F346BC">
            <w:pPr>
              <w:spacing w:after="0" w:line="360" w:lineRule="auto"/>
              <w:jc w:val="center"/>
              <w:rPr>
                <w:rFonts w:ascii="Times New Roman" w:eastAsia="Times New Roman" w:hAnsi="Times New Roman" w:cs="Times New Roman"/>
                <w:b/>
                <w:bCs/>
                <w:lang w:val="en-US" w:eastAsia="es-ES_tradnl"/>
              </w:rPr>
            </w:pPr>
            <w:r w:rsidRPr="00F346BC">
              <w:rPr>
                <w:rFonts w:ascii="Times New Roman" w:eastAsia="Times New Roman" w:hAnsi="Times New Roman" w:cs="Times New Roman"/>
                <w:b/>
                <w:bCs/>
                <w:lang w:val="en-US" w:eastAsia="es-ES_tradnl"/>
              </w:rPr>
              <w:t>Annotated Proteins (Gene Name)</w:t>
            </w:r>
          </w:p>
        </w:tc>
      </w:tr>
      <w:tr w:rsidR="00F346BC" w:rsidRPr="00F346BC" w:rsidTr="009558FF">
        <w:trPr>
          <w:trHeight w:val="30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GO:0009056</w:t>
            </w:r>
          </w:p>
        </w:tc>
        <w:tc>
          <w:tcPr>
            <w:tcW w:w="1876"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catabolic process</w:t>
            </w:r>
          </w:p>
        </w:tc>
        <w:tc>
          <w:tcPr>
            <w:tcW w:w="946"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0,001</w:t>
            </w:r>
          </w:p>
        </w:tc>
        <w:tc>
          <w:tcPr>
            <w:tcW w:w="141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2,95</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ACADL ANXA2 ASC LOC100522011 ATP2A2 CTSS CUL3 EIF3E EIF3H EIF4G1 GGT1 GZMA HADHA HK2 HSD17B4 ILVBL ITGB1 LAMP2 LSM3 NCBP1 NDUFA13 OXCT1 PCYOX1 PNP PSMC5 PSMD1 SCARB2 SND1 SUPT5H TCIRG1 UFL1 USP7 VPS35</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GO:0043604</w:t>
            </w:r>
          </w:p>
        </w:tc>
        <w:tc>
          <w:tcPr>
            <w:tcW w:w="1876"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amide biosynthetic process</w:t>
            </w:r>
          </w:p>
        </w:tc>
        <w:tc>
          <w:tcPr>
            <w:tcW w:w="946"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0,002</w:t>
            </w:r>
          </w:p>
        </w:tc>
        <w:tc>
          <w:tcPr>
            <w:tcW w:w="141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2,77</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AARS1 ACLY ACL DARS1 EEF1A EEF1A1 EIF2S1 EIF3E EIF3H EIF4G1 ETF1 GARS1 GGT1 HARS1 LOC110260088 NCBP1 PDHB QARS1 RPS19 RPS9</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GO:0051641</w:t>
            </w:r>
          </w:p>
        </w:tc>
        <w:tc>
          <w:tcPr>
            <w:tcW w:w="1876"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cellular localization</w:t>
            </w:r>
          </w:p>
        </w:tc>
        <w:tc>
          <w:tcPr>
            <w:tcW w:w="946"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0,002</w:t>
            </w:r>
          </w:p>
        </w:tc>
        <w:tc>
          <w:tcPr>
            <w:tcW w:w="141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2,77</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ALB ANXA2 ATP1B1 ATP2A2 CCT4 COPA COPB2 CUL3 DCTN2 DIAPH1 ERGIC1 HK2 ITGAL ITGB1 KIF5B KPNB1 LAMP1 LAMP2 LGALS3 MX2 MX1 NCBP1 NDUFA13 PTPN6 RAB10 RPA1 S100A10 SCARB2 SEC23B SNX2 SRPRA STOM TCIRG1 USP7 VPS35</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GO:0006412</w:t>
            </w:r>
          </w:p>
        </w:tc>
        <w:tc>
          <w:tcPr>
            <w:tcW w:w="1876"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translation</w:t>
            </w:r>
          </w:p>
        </w:tc>
        <w:tc>
          <w:tcPr>
            <w:tcW w:w="946"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0,004</w:t>
            </w:r>
          </w:p>
        </w:tc>
        <w:tc>
          <w:tcPr>
            <w:tcW w:w="141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2,37</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AARS1 DARS1 EEF1A EEF1A1 EIF2S1 EIF3E EIF3H EIF4G1 ETF1 GARS1 HARS1 LOC110260088 NCBP1 QARS1 RPS19 RPS9</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GO:0008152</w:t>
            </w:r>
          </w:p>
        </w:tc>
        <w:tc>
          <w:tcPr>
            <w:tcW w:w="1876"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metabolic process</w:t>
            </w:r>
          </w:p>
        </w:tc>
        <w:tc>
          <w:tcPr>
            <w:tcW w:w="946"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0,019</w:t>
            </w:r>
          </w:p>
        </w:tc>
        <w:tc>
          <w:tcPr>
            <w:tcW w:w="141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1,73</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 xml:space="preserve">FABP4 A-FABP AARS1 ABCE1 ACADL ACLY ACL ANXA2 ANXA4 ASC LOC100522011 ATP1B1 ATP2A2 ATP6V1A ATP6V1B2 BANF1 CAND1 CBFB CCT4 CD47 CNN2 CPT1A CTSS CUL3 CYB5R3 DARS1 DDOST DLAT EEF1A EEF1A1 EFTUD2 EIF2S1 EIF3E EIF3H EIF4G1 ERP44 ETF1 GARS1 GFPT1 GGT1 GLRX3 GZMA GZMB HADHA HARS1 HK2 HSD17B4 IDI1 LOC100625049 ILVBL INPP5D ITGB1 LAMP2 LOC110260088 LSM3 MVP MYBBP1A NAA15 PBEF1 NAMPT NCBP1 NDUFA13 NME2 OXCT1 PADI2 PCK2 PCYOX1 PDHB PNP PRPF40A PSMC5 PSMD1 </w:t>
            </w:r>
            <w:r w:rsidRPr="00F346BC">
              <w:rPr>
                <w:rFonts w:ascii="Times New Roman" w:eastAsia="Times New Roman" w:hAnsi="Times New Roman" w:cs="Times New Roman"/>
                <w:lang w:val="en-US" w:eastAsia="es-ES_tradnl"/>
              </w:rPr>
              <w:lastRenderedPageBreak/>
              <w:t>PTPN6 PTPRJ PTRH2 QARS1 RBMX RPA1 RPN1 RPS19 RPS9 RTCB RUVBL1 SCARB2 SF3B6 SND1 STAT1 SUPT5H TCIRG1 TOP2B UFL1 UMPS USP7 VPS35</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lastRenderedPageBreak/>
              <w:t>GO:0006900</w:t>
            </w:r>
          </w:p>
        </w:tc>
        <w:tc>
          <w:tcPr>
            <w:tcW w:w="1876"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vesicle budding from membrane</w:t>
            </w:r>
          </w:p>
        </w:tc>
        <w:tc>
          <w:tcPr>
            <w:tcW w:w="946"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0,019</w:t>
            </w:r>
          </w:p>
        </w:tc>
        <w:tc>
          <w:tcPr>
            <w:tcW w:w="141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1,71</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ANXA2 CUL3 S100A10 SEC23B</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GO:0016192</w:t>
            </w:r>
          </w:p>
        </w:tc>
        <w:tc>
          <w:tcPr>
            <w:tcW w:w="1876" w:type="dxa"/>
            <w:tcBorders>
              <w:top w:val="single" w:sz="4" w:space="0" w:color="FFFFFF"/>
              <w:left w:val="single" w:sz="4" w:space="0" w:color="FFFFFF"/>
              <w:bottom w:val="single" w:sz="4" w:space="0" w:color="FFFFFF"/>
              <w:right w:val="single" w:sz="4" w:space="0" w:color="FFFFFF"/>
            </w:tcBorders>
            <w:shd w:val="clear" w:color="DBDBDB" w:fill="DBDBDB"/>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vesicle-mediated transport</w:t>
            </w:r>
          </w:p>
        </w:tc>
        <w:tc>
          <w:tcPr>
            <w:tcW w:w="946"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0,021</w:t>
            </w:r>
          </w:p>
        </w:tc>
        <w:tc>
          <w:tcPr>
            <w:tcW w:w="1418" w:type="dxa"/>
            <w:tcBorders>
              <w:top w:val="single" w:sz="4" w:space="0" w:color="FFFFFF"/>
              <w:left w:val="single" w:sz="4" w:space="0" w:color="FFFFFF"/>
              <w:bottom w:val="single" w:sz="4" w:space="0" w:color="FFFFFF"/>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1,69</w:t>
            </w:r>
          </w:p>
        </w:tc>
        <w:tc>
          <w:tcPr>
            <w:tcW w:w="8477" w:type="dxa"/>
            <w:tcBorders>
              <w:top w:val="single" w:sz="4" w:space="0" w:color="FFFFFF"/>
              <w:left w:val="single" w:sz="4" w:space="0" w:color="FFFFFF"/>
              <w:bottom w:val="single" w:sz="4" w:space="0" w:color="FFFFFF"/>
              <w:right w:val="nil"/>
            </w:tcBorders>
            <w:shd w:val="clear" w:color="DBDBDB" w:fill="DBDBDB"/>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ANXA2 ASC LOC100522011 ATP2A2 CD47 CNN2 COPA COPB2 CUL3 ERGIC1 ITGB1 LAMP1 LGALS3 RAB10 S100A10 SCARB2 SEC23B SNX2 USP7 VPS35</w:t>
            </w:r>
          </w:p>
        </w:tc>
      </w:tr>
      <w:tr w:rsidR="00F346BC" w:rsidRPr="00F346BC" w:rsidTr="009558FF">
        <w:trPr>
          <w:trHeight w:val="280"/>
        </w:trPr>
        <w:tc>
          <w:tcPr>
            <w:tcW w:w="1289" w:type="dxa"/>
            <w:tcBorders>
              <w:top w:val="single" w:sz="4" w:space="0" w:color="FFFFFF"/>
              <w:left w:val="nil"/>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GO:2000209</w:t>
            </w:r>
          </w:p>
        </w:tc>
        <w:tc>
          <w:tcPr>
            <w:tcW w:w="1876" w:type="dxa"/>
            <w:tcBorders>
              <w:top w:val="single" w:sz="4" w:space="0" w:color="FFFFFF"/>
              <w:left w:val="single" w:sz="4" w:space="0" w:color="FFFFFF"/>
              <w:bottom w:val="single" w:sz="4" w:space="0" w:color="FFFFFF"/>
              <w:right w:val="single" w:sz="4" w:space="0" w:color="FFFFFF"/>
            </w:tcBorders>
            <w:shd w:val="clear" w:color="EDEDED" w:fill="EDEDED"/>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 xml:space="preserve">regulation of </w:t>
            </w:r>
            <w:proofErr w:type="spellStart"/>
            <w:r w:rsidRPr="00F346BC">
              <w:rPr>
                <w:rFonts w:ascii="Times New Roman" w:eastAsia="Times New Roman" w:hAnsi="Times New Roman" w:cs="Times New Roman"/>
                <w:lang w:val="en-US" w:eastAsia="es-ES_tradnl"/>
              </w:rPr>
              <w:t>anoikis</w:t>
            </w:r>
            <w:proofErr w:type="spellEnd"/>
          </w:p>
        </w:tc>
        <w:tc>
          <w:tcPr>
            <w:tcW w:w="946"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0,023</w:t>
            </w:r>
          </w:p>
        </w:tc>
        <w:tc>
          <w:tcPr>
            <w:tcW w:w="1418" w:type="dxa"/>
            <w:tcBorders>
              <w:top w:val="single" w:sz="4" w:space="0" w:color="FFFFFF"/>
              <w:left w:val="single" w:sz="4" w:space="0" w:color="FFFFFF"/>
              <w:bottom w:val="single" w:sz="4" w:space="0" w:color="FFFFFF"/>
              <w:right w:val="single" w:sz="4" w:space="0" w:color="FFFFFF"/>
            </w:tcBorders>
            <w:shd w:val="clear" w:color="EDEDED" w:fill="EDEDED"/>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1,64</w:t>
            </w:r>
          </w:p>
        </w:tc>
        <w:tc>
          <w:tcPr>
            <w:tcW w:w="8477" w:type="dxa"/>
            <w:tcBorders>
              <w:top w:val="single" w:sz="4" w:space="0" w:color="FFFFFF"/>
              <w:left w:val="single" w:sz="4" w:space="0" w:color="FFFFFF"/>
              <w:bottom w:val="single" w:sz="4" w:space="0" w:color="FFFFFF"/>
              <w:right w:val="nil"/>
            </w:tcBorders>
            <w:shd w:val="clear" w:color="EDEDED" w:fill="EDEDED"/>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ITGB1 MYBBP1A PTRH2</w:t>
            </w:r>
          </w:p>
        </w:tc>
      </w:tr>
      <w:tr w:rsidR="00F346BC" w:rsidRPr="00F346BC" w:rsidTr="009558FF">
        <w:trPr>
          <w:trHeight w:val="280"/>
        </w:trPr>
        <w:tc>
          <w:tcPr>
            <w:tcW w:w="1289" w:type="dxa"/>
            <w:tcBorders>
              <w:top w:val="single" w:sz="4" w:space="0" w:color="FFFFFF"/>
              <w:left w:val="nil"/>
              <w:bottom w:val="nil"/>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GO:0070106</w:t>
            </w:r>
          </w:p>
        </w:tc>
        <w:tc>
          <w:tcPr>
            <w:tcW w:w="1876" w:type="dxa"/>
            <w:tcBorders>
              <w:top w:val="single" w:sz="4" w:space="0" w:color="FFFFFF"/>
              <w:left w:val="single" w:sz="4" w:space="0" w:color="FFFFFF"/>
              <w:bottom w:val="nil"/>
              <w:right w:val="single" w:sz="4" w:space="0" w:color="FFFFFF"/>
            </w:tcBorders>
            <w:shd w:val="clear" w:color="DBDBDB" w:fill="DBDBDB"/>
            <w:noWrap/>
            <w:vAlign w:val="center"/>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interleukin-27-mediated signaling pathway</w:t>
            </w:r>
          </w:p>
        </w:tc>
        <w:tc>
          <w:tcPr>
            <w:tcW w:w="946" w:type="dxa"/>
            <w:tcBorders>
              <w:top w:val="single" w:sz="4" w:space="0" w:color="FFFFFF"/>
              <w:left w:val="single" w:sz="4" w:space="0" w:color="FFFFFF"/>
              <w:bottom w:val="nil"/>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0,037</w:t>
            </w:r>
          </w:p>
        </w:tc>
        <w:tc>
          <w:tcPr>
            <w:tcW w:w="1418" w:type="dxa"/>
            <w:tcBorders>
              <w:top w:val="single" w:sz="4" w:space="0" w:color="FFFFFF"/>
              <w:left w:val="single" w:sz="4" w:space="0" w:color="FFFFFF"/>
              <w:bottom w:val="nil"/>
              <w:right w:val="single" w:sz="4" w:space="0" w:color="FFFFFF"/>
            </w:tcBorders>
            <w:shd w:val="clear" w:color="DBDBDB" w:fill="DBDBDB"/>
            <w:noWrap/>
            <w:hideMark/>
          </w:tcPr>
          <w:p w:rsidR="00F346BC" w:rsidRPr="00F346BC" w:rsidRDefault="00F346BC" w:rsidP="00F346BC">
            <w:pPr>
              <w:spacing w:after="0" w:line="360" w:lineRule="auto"/>
              <w:jc w:val="center"/>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1,43</w:t>
            </w:r>
          </w:p>
        </w:tc>
        <w:tc>
          <w:tcPr>
            <w:tcW w:w="8477" w:type="dxa"/>
            <w:tcBorders>
              <w:top w:val="single" w:sz="4" w:space="0" w:color="FFFFFF"/>
              <w:left w:val="single" w:sz="4" w:space="0" w:color="FFFFFF"/>
              <w:bottom w:val="nil"/>
              <w:right w:val="nil"/>
            </w:tcBorders>
            <w:shd w:val="clear" w:color="DBDBDB" w:fill="DBDBDB"/>
            <w:noWrap/>
            <w:vAlign w:val="bottom"/>
            <w:hideMark/>
          </w:tcPr>
          <w:p w:rsidR="00F346BC" w:rsidRPr="00F346BC" w:rsidRDefault="00F346BC" w:rsidP="00F346BC">
            <w:pPr>
              <w:spacing w:after="0" w:line="360" w:lineRule="auto"/>
              <w:rPr>
                <w:rFonts w:ascii="Times New Roman" w:eastAsia="Times New Roman" w:hAnsi="Times New Roman" w:cs="Times New Roman"/>
                <w:lang w:val="en-US" w:eastAsia="es-ES_tradnl"/>
              </w:rPr>
            </w:pPr>
            <w:r w:rsidRPr="00F346BC">
              <w:rPr>
                <w:rFonts w:ascii="Times New Roman" w:eastAsia="Times New Roman" w:hAnsi="Times New Roman" w:cs="Times New Roman"/>
                <w:lang w:val="en-US" w:eastAsia="es-ES_tradnl"/>
              </w:rPr>
              <w:t>MX1 MX2 STAT1</w:t>
            </w:r>
          </w:p>
        </w:tc>
      </w:tr>
    </w:tbl>
    <w:p w:rsidR="00F346BC" w:rsidRPr="00F346BC" w:rsidRDefault="00F346BC" w:rsidP="00F346BC">
      <w:pPr>
        <w:spacing w:after="0" w:line="240" w:lineRule="auto"/>
        <w:rPr>
          <w:rFonts w:ascii="Calibri" w:eastAsia="Calibri" w:hAnsi="Calibri" w:cs="Times New Roman"/>
          <w:sz w:val="24"/>
          <w:szCs w:val="24"/>
          <w:lang w:val="en-US"/>
        </w:rPr>
      </w:pPr>
    </w:p>
    <w:p w:rsidR="00765ABC" w:rsidRDefault="00765ABC">
      <w:bookmarkStart w:id="0" w:name="_GoBack"/>
      <w:bookmarkEnd w:id="0"/>
    </w:p>
    <w:sectPr w:rsidR="00765ABC" w:rsidSect="00BC4593">
      <w:pgSz w:w="16840" w:h="1190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c1tDSyBDLMzAzMTZV0lIJTi4sz8/NACgxrAZGQZ5csAAAA"/>
  </w:docVars>
  <w:rsids>
    <w:rsidRoot w:val="00F346BC"/>
    <w:rsid w:val="00765ABC"/>
    <w:rsid w:val="00F346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C02839-5DD8-4991-B489-35103EC58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318</Words>
  <Characters>1818</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Fabrizio Ceciliani</dc:creator>
  <cp:keywords/>
  <dc:description/>
  <cp:lastModifiedBy>Fabrizio Ceciliani</cp:lastModifiedBy>
  <cp:revision>1</cp:revision>
  <dcterms:created xsi:type="dcterms:W3CDTF">2024-08-07T15:48:00Z</dcterms:created>
  <dcterms:modified xsi:type="dcterms:W3CDTF">2024-08-07T15:48:00Z</dcterms:modified>
</cp:coreProperties>
</file>