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5DAC" w:rsidRPr="00A461AF" w:rsidRDefault="00F15DAC" w:rsidP="00F15DAC">
      <w:pPr>
        <w:spacing w:line="360" w:lineRule="auto"/>
        <w:jc w:val="both"/>
        <w:rPr>
          <w:rFonts w:ascii="Times New Roman" w:eastAsia="Times New Roman" w:hAnsi="Times New Roman" w:cs="Times New Roman"/>
          <w:b/>
          <w:lang w:val="en-GB" w:eastAsia="es-ES_tradnl"/>
        </w:rPr>
      </w:pPr>
      <w:r w:rsidRPr="00A461AF">
        <w:rPr>
          <w:rFonts w:ascii="Times New Roman" w:eastAsia="Times New Roman" w:hAnsi="Times New Roman" w:cs="Times New Roman"/>
          <w:b/>
          <w:lang w:val="en-GB" w:eastAsia="es-ES_tradnl"/>
        </w:rPr>
        <w:t>Supplementary material</w:t>
      </w:r>
    </w:p>
    <w:p w:rsidR="00F15DAC" w:rsidRPr="00A461AF" w:rsidRDefault="00F15DAC" w:rsidP="00F15DAC">
      <w:pPr>
        <w:spacing w:line="360" w:lineRule="auto"/>
        <w:jc w:val="both"/>
        <w:rPr>
          <w:rFonts w:ascii="Times New Roman" w:eastAsia="Times New Roman" w:hAnsi="Times New Roman" w:cs="Times New Roman"/>
          <w:b/>
          <w:lang w:val="en-GB" w:eastAsia="es-ES_tradnl"/>
        </w:rPr>
      </w:pPr>
      <w:r w:rsidRPr="00A461AF">
        <w:rPr>
          <w:rFonts w:ascii="Times New Roman" w:eastAsia="Times New Roman" w:hAnsi="Times New Roman" w:cs="Times New Roman"/>
          <w:b/>
          <w:lang w:eastAsia="es-ES_tradnl"/>
        </w:rPr>
        <w:t>Table S</w:t>
      </w:r>
      <w:r>
        <w:rPr>
          <w:rFonts w:ascii="Times New Roman" w:eastAsia="Times New Roman" w:hAnsi="Times New Roman" w:cs="Times New Roman"/>
          <w:b/>
          <w:lang w:eastAsia="es-ES_tradnl"/>
        </w:rPr>
        <w:t>4</w:t>
      </w:r>
      <w:r w:rsidRPr="00A461AF">
        <w:rPr>
          <w:rFonts w:ascii="Times New Roman" w:eastAsia="Times New Roman" w:hAnsi="Times New Roman" w:cs="Times New Roman"/>
          <w:b/>
          <w:lang w:eastAsia="es-ES_tradnl"/>
        </w:rPr>
        <w:t xml:space="preserve">. </w:t>
      </w:r>
      <w:r w:rsidRPr="00A461AF">
        <w:rPr>
          <w:rFonts w:ascii="Times New Roman" w:eastAsia="Times New Roman" w:hAnsi="Times New Roman" w:cs="Times New Roman"/>
          <w:lang w:eastAsia="es-ES_tradnl"/>
        </w:rPr>
        <w:t xml:space="preserve">List of some of the main enriched Gene Ontology (GO) terms within the biological processes (BP) annotated by all 384 discriminant proteins (DP) selected </w:t>
      </w:r>
      <w:r>
        <w:rPr>
          <w:rFonts w:ascii="Times New Roman" w:eastAsia="Times New Roman" w:hAnsi="Times New Roman" w:cs="Times New Roman"/>
          <w:lang w:eastAsia="es-ES_tradnl"/>
        </w:rPr>
        <w:t xml:space="preserve">in </w:t>
      </w:r>
      <w:r w:rsidRPr="00A461AF">
        <w:rPr>
          <w:rFonts w:ascii="Times New Roman" w:eastAsia="Times New Roman" w:hAnsi="Times New Roman" w:cs="Times New Roman"/>
          <w:lang w:eastAsia="es-ES_tradnl"/>
        </w:rPr>
        <w:t xml:space="preserve">the </w:t>
      </w:r>
      <w:proofErr w:type="spellStart"/>
      <w:r w:rsidRPr="00A461AF">
        <w:rPr>
          <w:rFonts w:ascii="Times New Roman" w:eastAsia="Times New Roman" w:hAnsi="Times New Roman" w:cs="Times New Roman"/>
          <w:lang w:eastAsia="es-ES_tradnl"/>
        </w:rPr>
        <w:t>sPLS</w:t>
      </w:r>
      <w:proofErr w:type="spellEnd"/>
      <w:r w:rsidRPr="00A461AF">
        <w:rPr>
          <w:rFonts w:ascii="Times New Roman" w:eastAsia="Times New Roman" w:hAnsi="Times New Roman" w:cs="Times New Roman"/>
          <w:lang w:eastAsia="es-ES_tradnl"/>
        </w:rPr>
        <w:t>-DA.</w:t>
      </w:r>
    </w:p>
    <w:tbl>
      <w:tblPr>
        <w:tblW w:w="14006" w:type="dxa"/>
        <w:tblCellMar>
          <w:left w:w="70" w:type="dxa"/>
          <w:right w:w="70" w:type="dxa"/>
        </w:tblCellMar>
        <w:tblLook w:val="04A0" w:firstRow="1" w:lastRow="0" w:firstColumn="1" w:lastColumn="0" w:noHBand="0" w:noVBand="1"/>
      </w:tblPr>
      <w:tblGrid>
        <w:gridCol w:w="1289"/>
        <w:gridCol w:w="1919"/>
        <w:gridCol w:w="913"/>
        <w:gridCol w:w="1408"/>
        <w:gridCol w:w="8477"/>
      </w:tblGrid>
      <w:tr w:rsidR="00F15DAC" w:rsidRPr="00A461AF" w:rsidTr="009558FF">
        <w:trPr>
          <w:trHeight w:val="320"/>
        </w:trPr>
        <w:tc>
          <w:tcPr>
            <w:tcW w:w="1289" w:type="dxa"/>
            <w:tcBorders>
              <w:top w:val="nil"/>
              <w:left w:val="nil"/>
              <w:bottom w:val="single" w:sz="12" w:space="0" w:color="FFFFFF"/>
              <w:right w:val="single" w:sz="4" w:space="0" w:color="FFFFFF"/>
            </w:tcBorders>
            <w:shd w:val="clear" w:color="A5A5A5" w:fill="A5A5A5"/>
            <w:noWrap/>
            <w:hideMark/>
          </w:tcPr>
          <w:p w:rsidR="00F15DAC" w:rsidRPr="00A461AF" w:rsidRDefault="00F15DAC" w:rsidP="009558FF">
            <w:pPr>
              <w:spacing w:line="360" w:lineRule="auto"/>
              <w:jc w:val="center"/>
              <w:rPr>
                <w:rFonts w:ascii="Times New Roman" w:eastAsia="Times New Roman" w:hAnsi="Times New Roman" w:cs="Times New Roman"/>
                <w:b/>
                <w:bCs/>
                <w:sz w:val="22"/>
                <w:szCs w:val="22"/>
                <w:lang w:eastAsia="es-ES_tradnl"/>
              </w:rPr>
            </w:pPr>
            <w:r w:rsidRPr="00A461AF">
              <w:rPr>
                <w:rFonts w:ascii="Times New Roman" w:eastAsia="Times New Roman" w:hAnsi="Times New Roman" w:cs="Times New Roman"/>
                <w:b/>
                <w:bCs/>
                <w:sz w:val="22"/>
                <w:szCs w:val="22"/>
                <w:lang w:eastAsia="es-ES_tradnl"/>
              </w:rPr>
              <w:t>GO Term BP</w:t>
            </w:r>
          </w:p>
        </w:tc>
        <w:tc>
          <w:tcPr>
            <w:tcW w:w="1919" w:type="dxa"/>
            <w:tcBorders>
              <w:top w:val="nil"/>
              <w:left w:val="nil"/>
              <w:bottom w:val="single" w:sz="12" w:space="0" w:color="FFFFFF"/>
              <w:right w:val="single" w:sz="4" w:space="0" w:color="FFFFFF"/>
            </w:tcBorders>
            <w:shd w:val="clear" w:color="A5A5A5" w:fill="A5A5A5"/>
            <w:noWrap/>
            <w:hideMark/>
          </w:tcPr>
          <w:p w:rsidR="00F15DAC" w:rsidRPr="00A461AF" w:rsidRDefault="00F15DAC" w:rsidP="009558FF">
            <w:pPr>
              <w:spacing w:line="360" w:lineRule="auto"/>
              <w:jc w:val="center"/>
              <w:rPr>
                <w:rFonts w:ascii="Times New Roman" w:eastAsia="Times New Roman" w:hAnsi="Times New Roman" w:cs="Times New Roman"/>
                <w:b/>
                <w:bCs/>
                <w:sz w:val="22"/>
                <w:szCs w:val="22"/>
                <w:lang w:eastAsia="es-ES_tradnl"/>
              </w:rPr>
            </w:pPr>
            <w:r w:rsidRPr="00A461AF">
              <w:rPr>
                <w:rFonts w:ascii="Times New Roman" w:eastAsia="Times New Roman" w:hAnsi="Times New Roman" w:cs="Times New Roman"/>
                <w:b/>
                <w:bCs/>
                <w:sz w:val="22"/>
                <w:szCs w:val="22"/>
                <w:lang w:eastAsia="es-ES_tradnl"/>
              </w:rPr>
              <w:t>GO Term Description</w:t>
            </w:r>
          </w:p>
        </w:tc>
        <w:tc>
          <w:tcPr>
            <w:tcW w:w="913" w:type="dxa"/>
            <w:tcBorders>
              <w:top w:val="nil"/>
              <w:left w:val="nil"/>
              <w:bottom w:val="single" w:sz="12" w:space="0" w:color="FFFFFF"/>
              <w:right w:val="single" w:sz="4" w:space="0" w:color="FFFFFF"/>
            </w:tcBorders>
            <w:shd w:val="clear" w:color="A5A5A5" w:fill="A5A5A5"/>
            <w:noWrap/>
            <w:hideMark/>
          </w:tcPr>
          <w:p w:rsidR="00F15DAC" w:rsidRPr="00A461AF" w:rsidRDefault="00F15DAC" w:rsidP="009558FF">
            <w:pPr>
              <w:spacing w:line="360" w:lineRule="auto"/>
              <w:jc w:val="center"/>
              <w:rPr>
                <w:rFonts w:ascii="Times New Roman" w:eastAsia="Times New Roman" w:hAnsi="Times New Roman" w:cs="Times New Roman"/>
                <w:b/>
                <w:bCs/>
                <w:sz w:val="22"/>
                <w:szCs w:val="22"/>
                <w:lang w:eastAsia="es-ES_tradnl"/>
              </w:rPr>
            </w:pPr>
            <w:r>
              <w:rPr>
                <w:rFonts w:ascii="Times New Roman" w:eastAsia="Times New Roman" w:hAnsi="Times New Roman" w:cs="Times New Roman"/>
                <w:b/>
                <w:bCs/>
                <w:sz w:val="22"/>
                <w:szCs w:val="22"/>
                <w:lang w:eastAsia="es-ES_tradnl"/>
              </w:rPr>
              <w:t>p</w:t>
            </w:r>
            <w:r w:rsidRPr="00A461AF">
              <w:rPr>
                <w:rFonts w:ascii="Times New Roman" w:eastAsia="Times New Roman" w:hAnsi="Times New Roman" w:cs="Times New Roman"/>
                <w:b/>
                <w:bCs/>
                <w:sz w:val="22"/>
                <w:szCs w:val="22"/>
                <w:lang w:eastAsia="es-ES_tradnl"/>
              </w:rPr>
              <w:t>-value (FDR)</w:t>
            </w:r>
          </w:p>
        </w:tc>
        <w:tc>
          <w:tcPr>
            <w:tcW w:w="1408" w:type="dxa"/>
            <w:tcBorders>
              <w:top w:val="nil"/>
              <w:left w:val="nil"/>
              <w:bottom w:val="single" w:sz="12" w:space="0" w:color="FFFFFF"/>
              <w:right w:val="single" w:sz="4" w:space="0" w:color="FFFFFF"/>
            </w:tcBorders>
            <w:shd w:val="clear" w:color="A5A5A5" w:fill="A5A5A5"/>
            <w:noWrap/>
            <w:hideMark/>
          </w:tcPr>
          <w:p w:rsidR="00F15DAC" w:rsidRPr="00A461AF" w:rsidRDefault="00F15DAC" w:rsidP="009558FF">
            <w:pPr>
              <w:spacing w:line="360" w:lineRule="auto"/>
              <w:jc w:val="center"/>
              <w:rPr>
                <w:rFonts w:ascii="Times New Roman" w:eastAsia="Times New Roman" w:hAnsi="Times New Roman" w:cs="Times New Roman"/>
                <w:b/>
                <w:bCs/>
                <w:sz w:val="22"/>
                <w:szCs w:val="22"/>
                <w:lang w:eastAsia="es-ES_tradnl"/>
              </w:rPr>
            </w:pPr>
            <w:r w:rsidRPr="00A461AF">
              <w:rPr>
                <w:rFonts w:ascii="Times New Roman" w:eastAsia="Times New Roman" w:hAnsi="Times New Roman" w:cs="Times New Roman"/>
                <w:b/>
                <w:bCs/>
                <w:sz w:val="22"/>
                <w:szCs w:val="22"/>
                <w:lang w:eastAsia="es-ES_tradnl"/>
              </w:rPr>
              <w:t>-log10(FDR)</w:t>
            </w:r>
          </w:p>
        </w:tc>
        <w:tc>
          <w:tcPr>
            <w:tcW w:w="8477" w:type="dxa"/>
            <w:tcBorders>
              <w:top w:val="nil"/>
              <w:left w:val="nil"/>
              <w:bottom w:val="single" w:sz="12" w:space="0" w:color="FFFFFF"/>
              <w:right w:val="nil"/>
            </w:tcBorders>
            <w:shd w:val="clear" w:color="A5A5A5" w:fill="A5A5A5"/>
            <w:noWrap/>
            <w:hideMark/>
          </w:tcPr>
          <w:p w:rsidR="00F15DAC" w:rsidRPr="00A461AF" w:rsidRDefault="00F15DAC" w:rsidP="009558FF">
            <w:pPr>
              <w:spacing w:line="360" w:lineRule="auto"/>
              <w:jc w:val="center"/>
              <w:rPr>
                <w:rFonts w:ascii="Times New Roman" w:eastAsia="Times New Roman" w:hAnsi="Times New Roman" w:cs="Times New Roman"/>
                <w:b/>
                <w:bCs/>
                <w:sz w:val="22"/>
                <w:szCs w:val="22"/>
                <w:lang w:eastAsia="es-ES_tradnl"/>
              </w:rPr>
            </w:pPr>
            <w:r w:rsidRPr="00A461AF">
              <w:rPr>
                <w:rFonts w:ascii="Times New Roman" w:eastAsia="Times New Roman" w:hAnsi="Times New Roman" w:cs="Times New Roman"/>
                <w:b/>
                <w:bCs/>
                <w:sz w:val="22"/>
                <w:szCs w:val="22"/>
                <w:lang w:eastAsia="es-ES_tradnl"/>
              </w:rPr>
              <w:t>Annotated Proteins (Gene Name)</w:t>
            </w:r>
          </w:p>
        </w:tc>
      </w:tr>
      <w:tr w:rsidR="00F15DAC" w:rsidRPr="00A461AF" w:rsidTr="009558FF">
        <w:trPr>
          <w:trHeight w:val="300"/>
        </w:trPr>
        <w:tc>
          <w:tcPr>
            <w:tcW w:w="1289" w:type="dxa"/>
            <w:tcBorders>
              <w:top w:val="single" w:sz="4" w:space="0" w:color="FFFFFF"/>
              <w:left w:val="nil"/>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GO:0097435</w:t>
            </w:r>
          </w:p>
        </w:tc>
        <w:tc>
          <w:tcPr>
            <w:tcW w:w="1919" w:type="dxa"/>
            <w:tcBorders>
              <w:top w:val="single" w:sz="4" w:space="0" w:color="FFFFFF"/>
              <w:left w:val="single" w:sz="4" w:space="0" w:color="FFFFFF"/>
              <w:bottom w:val="single" w:sz="4" w:space="0" w:color="FFFFFF"/>
              <w:right w:val="single" w:sz="4" w:space="0" w:color="FFFFFF"/>
            </w:tcBorders>
            <w:shd w:val="clear" w:color="DBDBDB" w:fill="DBDBDB"/>
            <w:noWrap/>
            <w:vAlign w:val="center"/>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supramolecular fiber organization</w:t>
            </w:r>
          </w:p>
        </w:tc>
        <w:tc>
          <w:tcPr>
            <w:tcW w:w="913"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0,00000</w:t>
            </w:r>
          </w:p>
        </w:tc>
        <w:tc>
          <w:tcPr>
            <w:tcW w:w="1408"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5,52</w:t>
            </w:r>
          </w:p>
        </w:tc>
        <w:tc>
          <w:tcPr>
            <w:tcW w:w="8477" w:type="dxa"/>
            <w:tcBorders>
              <w:top w:val="single" w:sz="4" w:space="0" w:color="FFFFFF"/>
              <w:left w:val="single" w:sz="4" w:space="0" w:color="FFFFFF"/>
              <w:bottom w:val="single" w:sz="4" w:space="0" w:color="FFFFFF"/>
              <w:right w:val="nil"/>
            </w:tcBorders>
            <w:shd w:val="clear" w:color="DBDBDB" w:fill="DBDBDB"/>
            <w:noWrap/>
            <w:vAlign w:val="bottom"/>
            <w:hideMark/>
          </w:tcPr>
          <w:p w:rsidR="00F15DAC" w:rsidRPr="00A461AF" w:rsidRDefault="00F15DAC" w:rsidP="009558FF">
            <w:pPr>
              <w:spacing w:line="360" w:lineRule="auto"/>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ABI1 ACTN1 ACTN2 ANXA2 APOE ARPC1B ARPC2 ARPC5 ARPC5L ARRB1 ASC LOC100522011 CD36 LOC100511343 CLU CORO1B CUL3 DIAPH1 ITGB1 KPNB1 LOC100513346 PAM16 LOC100737113 MAPRE1 MCU MECP2 MYADM NCBP1 NCK2 PFDN2 PRKCD RDX RPS3 S100A10 SERPINH1 SH3KBP1 WASF2 WDR1</w:t>
            </w:r>
          </w:p>
        </w:tc>
      </w:tr>
      <w:tr w:rsidR="00F15DAC" w:rsidRPr="00A461AF" w:rsidTr="009558FF">
        <w:trPr>
          <w:trHeight w:val="280"/>
        </w:trPr>
        <w:tc>
          <w:tcPr>
            <w:tcW w:w="1289" w:type="dxa"/>
            <w:tcBorders>
              <w:top w:val="single" w:sz="4" w:space="0" w:color="FFFFFF"/>
              <w:left w:val="nil"/>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GO:0008152</w:t>
            </w:r>
          </w:p>
        </w:tc>
        <w:tc>
          <w:tcPr>
            <w:tcW w:w="1919" w:type="dxa"/>
            <w:tcBorders>
              <w:top w:val="single" w:sz="4" w:space="0" w:color="FFFFFF"/>
              <w:left w:val="single" w:sz="4" w:space="0" w:color="FFFFFF"/>
              <w:bottom w:val="single" w:sz="4" w:space="0" w:color="FFFFFF"/>
              <w:right w:val="single" w:sz="4" w:space="0" w:color="FFFFFF"/>
            </w:tcBorders>
            <w:shd w:val="clear" w:color="EDEDED" w:fill="EDEDED"/>
            <w:noWrap/>
            <w:vAlign w:val="center"/>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metabolic process</w:t>
            </w:r>
          </w:p>
        </w:tc>
        <w:tc>
          <w:tcPr>
            <w:tcW w:w="913"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0,00001</w:t>
            </w:r>
          </w:p>
        </w:tc>
        <w:tc>
          <w:tcPr>
            <w:tcW w:w="1408"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5,01</w:t>
            </w:r>
          </w:p>
        </w:tc>
        <w:tc>
          <w:tcPr>
            <w:tcW w:w="8477" w:type="dxa"/>
            <w:tcBorders>
              <w:top w:val="single" w:sz="4" w:space="0" w:color="FFFFFF"/>
              <w:left w:val="single" w:sz="4" w:space="0" w:color="FFFFFF"/>
              <w:bottom w:val="single" w:sz="4" w:space="0" w:color="FFFFFF"/>
              <w:right w:val="nil"/>
            </w:tcBorders>
            <w:shd w:val="clear" w:color="EDEDED" w:fill="EDEDED"/>
            <w:noWrap/>
            <w:vAlign w:val="bottom"/>
            <w:hideMark/>
          </w:tcPr>
          <w:p w:rsidR="00F15DAC" w:rsidRPr="00A461AF" w:rsidRDefault="00F15DAC" w:rsidP="009558FF">
            <w:pPr>
              <w:spacing w:line="360" w:lineRule="auto"/>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 xml:space="preserve">FABP4 A-FABP AARS1 ABCE1 ABI1 ACADL ACLY ACL ACP1 ACSS2 AKR1A1 ANXA2 ANXA4 AP3B1 APEH APOE ARRB1 ASC LOC100522011 ATP1B1 ATP2A2 ATP6V1A ATP6V1B2 BAG5 CKB BANF1 BRCC3 BTK CAND1 CASP1 CASP6 CBFB CBX5 CCT4 CD36 LOC100511343 CD47 CDK2 RAB5B CLU CNN2 CPM CPT1A CSN2 CTBP1 CTRC EFHD2 CTSH CTSS CUL3 CYB5R3 DARS1 DAZAP1 DDB1 DDOST DDX17 DDX5 DEK DLAT DNAJB11 DNASE1L1 DPP3 ECHS1 ECM1 EEF1A EEF1A1 EFTUD2 EIF2S1 EIF3E EIF3F EIF3H EIF4E EIF4G1 EPRS1 ERP44 ESD ETF1 F13A1 FDPS FGB G3BP1 GAR1 GARS1 GFPT1 GGT1 GLRX3 GZMA GZMB HADHA HARS1 HINT1 HK2 HMGB2 HNMT HNRNPU HSD17B4 IDH2 IDH3A IDI1 LOC100625049 ILVBL INPP5D ITGB1 SRSF6 L3MBTL1 LAMP2 LCP2 LDHA LMNA LNPEP ZGLP1 LOC100526209 LOC110260088 LONP1 LSM3 LYPLA1 MAN2B1 MAP2K2 MECP2 METAP2 MTREX MVP MYADM MYBBP1A NAA15 NAAA NAMPT PBEF1 NCBP1 NCF4 NCK2 NDUFA13 NDUFS6 NIBAN1 NIT2 NME2 NSUN2 OXCT1 PADI2 PCK2 PCYOX1 PDCD5 PDHB PDXK PFDN2 PKM PLD4 PMPCB PNP PPA2 PPP2R2A PRDX2 PREP PRKCD PRMT1 PRPF19 PRPF40A PSMA3 PSMA5 RAPSN PSMC3 PSMC5 </w:t>
            </w:r>
            <w:r w:rsidRPr="00A461AF">
              <w:rPr>
                <w:rFonts w:ascii="Times New Roman" w:eastAsia="Times New Roman" w:hAnsi="Times New Roman" w:cs="Times New Roman"/>
                <w:sz w:val="22"/>
                <w:szCs w:val="22"/>
                <w:lang w:eastAsia="es-ES_tradnl"/>
              </w:rPr>
              <w:lastRenderedPageBreak/>
              <w:t>PSMD1 PTBP3 PTPN12 PTPN6 PTPRJ PTRH2 PYGL PYGM QARS1 RAB7A RAE1 RALY RBBP7 RBM14 RBM4 RBM39 RBMX RDX RO60 RPA1 RPIA RPL10A RPL13A RPL18 RPL19 RPL27 RPL29 RPN1 RPS13 RPS19 RPS25 RPS3 RPS8 RPS9 RTCB RUVBL1 SAFB SARNP SART1 SASH3 SCARB2 SCPEP1 SDCBP SDHA SERPINH1 SF3B6 SKP1 SLA-DQB*G01 SLA-DQB1 SLADQB SLA-DQB SMC3 SMU1 SND1 SPN SPR SRI SRSF1 STAT1 STK24 STK4 STX4 SUB1 SUPT5H TAF15 TBXAS1 TCIRG1 TCOF1 THBS1 THOC2 TLR2 TNC TOP2B TP53RK TRIM28 TUFM UBA1 UBE2M UFL1 UGDH UGGT1 UGP2 UMPS USP7 VPS35 WBP11 WDR61 XPNPEP1 YWHAQ</w:t>
            </w:r>
          </w:p>
        </w:tc>
      </w:tr>
      <w:tr w:rsidR="00F15DAC" w:rsidRPr="00A461AF" w:rsidTr="009558FF">
        <w:trPr>
          <w:trHeight w:val="280"/>
        </w:trPr>
        <w:tc>
          <w:tcPr>
            <w:tcW w:w="1289" w:type="dxa"/>
            <w:tcBorders>
              <w:top w:val="single" w:sz="4" w:space="0" w:color="FFFFFF"/>
              <w:left w:val="nil"/>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lastRenderedPageBreak/>
              <w:t>GO:0030036</w:t>
            </w:r>
          </w:p>
        </w:tc>
        <w:tc>
          <w:tcPr>
            <w:tcW w:w="1919" w:type="dxa"/>
            <w:tcBorders>
              <w:top w:val="single" w:sz="4" w:space="0" w:color="FFFFFF"/>
              <w:left w:val="single" w:sz="4" w:space="0" w:color="FFFFFF"/>
              <w:bottom w:val="single" w:sz="4" w:space="0" w:color="FFFFFF"/>
              <w:right w:val="single" w:sz="4" w:space="0" w:color="FFFFFF"/>
            </w:tcBorders>
            <w:shd w:val="clear" w:color="DBDBDB" w:fill="DBDBDB"/>
            <w:noWrap/>
            <w:vAlign w:val="center"/>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actin cytoskeleton organization</w:t>
            </w:r>
          </w:p>
        </w:tc>
        <w:tc>
          <w:tcPr>
            <w:tcW w:w="913"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0,00003</w:t>
            </w:r>
          </w:p>
        </w:tc>
        <w:tc>
          <w:tcPr>
            <w:tcW w:w="1408"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4,53</w:t>
            </w:r>
          </w:p>
        </w:tc>
        <w:tc>
          <w:tcPr>
            <w:tcW w:w="8477" w:type="dxa"/>
            <w:tcBorders>
              <w:top w:val="single" w:sz="4" w:space="0" w:color="FFFFFF"/>
              <w:left w:val="single" w:sz="4" w:space="0" w:color="FFFFFF"/>
              <w:bottom w:val="single" w:sz="4" w:space="0" w:color="FFFFFF"/>
              <w:right w:val="nil"/>
            </w:tcBorders>
            <w:shd w:val="clear" w:color="DBDBDB" w:fill="DBDBDB"/>
            <w:noWrap/>
            <w:vAlign w:val="bottom"/>
            <w:hideMark/>
          </w:tcPr>
          <w:p w:rsidR="00F15DAC" w:rsidRPr="00A461AF" w:rsidRDefault="00F15DAC" w:rsidP="009558FF">
            <w:pPr>
              <w:spacing w:line="360" w:lineRule="auto"/>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ABI1 ACTN1 ACTN2 ARPC1B ARPC2 ARPC5 ARPC5L ARRB1 ASC LOC100522011 CAP1 CNN2 CORO1B CUL3 DIAPH1 DOCK2 FLII ITGB1 LOC100513346 PAM16 MCU MYADM NCBP1 NCK2 PFN1 PRKCD RDX S100A10 SDCBP SH3KBP1 TLN1 WASF2 WDR1</w:t>
            </w:r>
          </w:p>
        </w:tc>
      </w:tr>
      <w:tr w:rsidR="00F15DAC" w:rsidRPr="00A461AF" w:rsidTr="009558FF">
        <w:trPr>
          <w:trHeight w:val="280"/>
        </w:trPr>
        <w:tc>
          <w:tcPr>
            <w:tcW w:w="1289" w:type="dxa"/>
            <w:tcBorders>
              <w:top w:val="single" w:sz="4" w:space="0" w:color="FFFFFF"/>
              <w:left w:val="nil"/>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GO:0046907</w:t>
            </w:r>
          </w:p>
        </w:tc>
        <w:tc>
          <w:tcPr>
            <w:tcW w:w="1919" w:type="dxa"/>
            <w:tcBorders>
              <w:top w:val="single" w:sz="4" w:space="0" w:color="FFFFFF"/>
              <w:left w:val="single" w:sz="4" w:space="0" w:color="FFFFFF"/>
              <w:bottom w:val="single" w:sz="4" w:space="0" w:color="FFFFFF"/>
              <w:right w:val="single" w:sz="4" w:space="0" w:color="FFFFFF"/>
            </w:tcBorders>
            <w:shd w:val="clear" w:color="EDEDED" w:fill="EDEDED"/>
            <w:noWrap/>
            <w:vAlign w:val="center"/>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intracellular transport</w:t>
            </w:r>
          </w:p>
        </w:tc>
        <w:tc>
          <w:tcPr>
            <w:tcW w:w="913"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0,00004</w:t>
            </w:r>
          </w:p>
        </w:tc>
        <w:tc>
          <w:tcPr>
            <w:tcW w:w="1408"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4,44</w:t>
            </w:r>
          </w:p>
        </w:tc>
        <w:tc>
          <w:tcPr>
            <w:tcW w:w="8477" w:type="dxa"/>
            <w:tcBorders>
              <w:top w:val="single" w:sz="4" w:space="0" w:color="FFFFFF"/>
              <w:left w:val="single" w:sz="4" w:space="0" w:color="FFFFFF"/>
              <w:bottom w:val="single" w:sz="4" w:space="0" w:color="FFFFFF"/>
              <w:right w:val="nil"/>
            </w:tcBorders>
            <w:shd w:val="clear" w:color="EDEDED" w:fill="EDEDED"/>
            <w:noWrap/>
            <w:vAlign w:val="bottom"/>
            <w:hideMark/>
          </w:tcPr>
          <w:p w:rsidR="00F15DAC" w:rsidRPr="00A461AF" w:rsidRDefault="00F15DAC" w:rsidP="009558FF">
            <w:pPr>
              <w:spacing w:line="360" w:lineRule="auto"/>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ACTN2 ANXA2 AP3B1 ATP2A2 CD36 LOC100511343 COPA COPB2 CUL3 ERGIC1 HNRNPU HSPA4 IPO5 KIF5B KPNB1 LAMP1 LAMP2 LMNA PAM16 LOC100513346 Mx1 MX2 MX1 NCBP1 NDUFA13 NSUN2 PDCD5 PMPCB PRKCD RAB10 RAB7A RAE1 RANBP1 RDX SCARB2 SEC23B SEC24C SNX2 SRP68 SRPRA STOM STX4 TAP1 THOC2 TRIM28 USO1 USP7 VPS35 YKT6 YWHAQ</w:t>
            </w:r>
          </w:p>
        </w:tc>
      </w:tr>
      <w:tr w:rsidR="00F15DAC" w:rsidRPr="00A461AF" w:rsidTr="009558FF">
        <w:trPr>
          <w:trHeight w:val="280"/>
        </w:trPr>
        <w:tc>
          <w:tcPr>
            <w:tcW w:w="1289" w:type="dxa"/>
            <w:tcBorders>
              <w:top w:val="single" w:sz="4" w:space="0" w:color="FFFFFF"/>
              <w:left w:val="nil"/>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GO:0010638</w:t>
            </w:r>
          </w:p>
        </w:tc>
        <w:tc>
          <w:tcPr>
            <w:tcW w:w="1919" w:type="dxa"/>
            <w:tcBorders>
              <w:top w:val="single" w:sz="4" w:space="0" w:color="FFFFFF"/>
              <w:left w:val="single" w:sz="4" w:space="0" w:color="FFFFFF"/>
              <w:bottom w:val="single" w:sz="4" w:space="0" w:color="FFFFFF"/>
              <w:right w:val="single" w:sz="4" w:space="0" w:color="FFFFFF"/>
            </w:tcBorders>
            <w:shd w:val="clear" w:color="DBDBDB" w:fill="DBDBDB"/>
            <w:noWrap/>
            <w:vAlign w:val="center"/>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positive regulation of organelle organization</w:t>
            </w:r>
          </w:p>
        </w:tc>
        <w:tc>
          <w:tcPr>
            <w:tcW w:w="913"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0,00005</w:t>
            </w:r>
          </w:p>
        </w:tc>
        <w:tc>
          <w:tcPr>
            <w:tcW w:w="1408"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4,29</w:t>
            </w:r>
          </w:p>
        </w:tc>
        <w:tc>
          <w:tcPr>
            <w:tcW w:w="8477" w:type="dxa"/>
            <w:tcBorders>
              <w:top w:val="single" w:sz="4" w:space="0" w:color="FFFFFF"/>
              <w:left w:val="single" w:sz="4" w:space="0" w:color="FFFFFF"/>
              <w:bottom w:val="single" w:sz="4" w:space="0" w:color="FFFFFF"/>
              <w:right w:val="nil"/>
            </w:tcBorders>
            <w:shd w:val="clear" w:color="DBDBDB" w:fill="DBDBDB"/>
            <w:noWrap/>
            <w:vAlign w:val="bottom"/>
            <w:hideMark/>
          </w:tcPr>
          <w:p w:rsidR="00F15DAC" w:rsidRPr="00A461AF" w:rsidRDefault="00F15DAC" w:rsidP="009558FF">
            <w:pPr>
              <w:spacing w:line="360" w:lineRule="auto"/>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ACTN2 ANXA2 ARPC1B ARPC2 ARPC5 ARPC5L ARRB1 ASC LOC100522011 CCT4 CORO1B CTBP1 CUL3 G3BP1 LMNA MAPRE1 MCU MECP2 NCK2 PDCD5 PFDN2 RPS3 S100A10 SDCBP SURF4 TRIM28 VPS35 WDR1 WDR61</w:t>
            </w:r>
          </w:p>
        </w:tc>
      </w:tr>
      <w:tr w:rsidR="00F15DAC" w:rsidRPr="00A461AF" w:rsidTr="009558FF">
        <w:trPr>
          <w:trHeight w:val="280"/>
        </w:trPr>
        <w:tc>
          <w:tcPr>
            <w:tcW w:w="1289" w:type="dxa"/>
            <w:tcBorders>
              <w:top w:val="single" w:sz="4" w:space="0" w:color="FFFFFF"/>
              <w:left w:val="nil"/>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GO:0006412</w:t>
            </w:r>
          </w:p>
        </w:tc>
        <w:tc>
          <w:tcPr>
            <w:tcW w:w="1919" w:type="dxa"/>
            <w:tcBorders>
              <w:top w:val="single" w:sz="4" w:space="0" w:color="FFFFFF"/>
              <w:left w:val="single" w:sz="4" w:space="0" w:color="FFFFFF"/>
              <w:bottom w:val="single" w:sz="4" w:space="0" w:color="FFFFFF"/>
              <w:right w:val="single" w:sz="4" w:space="0" w:color="FFFFFF"/>
            </w:tcBorders>
            <w:shd w:val="clear" w:color="EDEDED" w:fill="EDEDED"/>
            <w:noWrap/>
            <w:vAlign w:val="center"/>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translation</w:t>
            </w:r>
          </w:p>
        </w:tc>
        <w:tc>
          <w:tcPr>
            <w:tcW w:w="913"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0,00006</w:t>
            </w:r>
          </w:p>
        </w:tc>
        <w:tc>
          <w:tcPr>
            <w:tcW w:w="1408"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4,19</w:t>
            </w:r>
          </w:p>
        </w:tc>
        <w:tc>
          <w:tcPr>
            <w:tcW w:w="8477" w:type="dxa"/>
            <w:tcBorders>
              <w:top w:val="single" w:sz="4" w:space="0" w:color="FFFFFF"/>
              <w:left w:val="single" w:sz="4" w:space="0" w:color="FFFFFF"/>
              <w:bottom w:val="single" w:sz="4" w:space="0" w:color="FFFFFF"/>
              <w:right w:val="nil"/>
            </w:tcBorders>
            <w:shd w:val="clear" w:color="EDEDED" w:fill="EDEDED"/>
            <w:noWrap/>
            <w:vAlign w:val="bottom"/>
            <w:hideMark/>
          </w:tcPr>
          <w:p w:rsidR="00F15DAC" w:rsidRPr="00A461AF" w:rsidRDefault="00F15DAC" w:rsidP="009558FF">
            <w:pPr>
              <w:spacing w:line="360" w:lineRule="auto"/>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AARS1 DARS1 EEF1A EEF1A1 EIF2S1 EIF3E EIF3F EIF3H EIF4E EIF4G1 EPRS1 ETF1 GARS1 HARS1 LOC110260088 NCBP1 NCK2 NIBAN1 QARS1 RPL10A RPL13A RPL18 RPL19 RPL27 RPL29 RPS13 RPS19 RPS3 RPS8 RPS9 TCOF1 THBS1 TUFM</w:t>
            </w:r>
          </w:p>
        </w:tc>
      </w:tr>
      <w:tr w:rsidR="00F15DAC" w:rsidRPr="00A461AF" w:rsidTr="009558FF">
        <w:trPr>
          <w:trHeight w:val="280"/>
        </w:trPr>
        <w:tc>
          <w:tcPr>
            <w:tcW w:w="1289" w:type="dxa"/>
            <w:tcBorders>
              <w:top w:val="single" w:sz="4" w:space="0" w:color="FFFFFF"/>
              <w:left w:val="nil"/>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lastRenderedPageBreak/>
              <w:t>GO:0060627</w:t>
            </w:r>
          </w:p>
        </w:tc>
        <w:tc>
          <w:tcPr>
            <w:tcW w:w="1919" w:type="dxa"/>
            <w:tcBorders>
              <w:top w:val="single" w:sz="4" w:space="0" w:color="FFFFFF"/>
              <w:left w:val="single" w:sz="4" w:space="0" w:color="FFFFFF"/>
              <w:bottom w:val="single" w:sz="4" w:space="0" w:color="FFFFFF"/>
              <w:right w:val="single" w:sz="4" w:space="0" w:color="FFFFFF"/>
            </w:tcBorders>
            <w:shd w:val="clear" w:color="DBDBDB" w:fill="DBDBDB"/>
            <w:noWrap/>
            <w:vAlign w:val="center"/>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regulation of vesicle-mediated transport</w:t>
            </w:r>
          </w:p>
        </w:tc>
        <w:tc>
          <w:tcPr>
            <w:tcW w:w="913"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0,00013</w:t>
            </w:r>
          </w:p>
        </w:tc>
        <w:tc>
          <w:tcPr>
            <w:tcW w:w="1408"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3,89</w:t>
            </w:r>
          </w:p>
        </w:tc>
        <w:tc>
          <w:tcPr>
            <w:tcW w:w="8477" w:type="dxa"/>
            <w:tcBorders>
              <w:top w:val="single" w:sz="4" w:space="0" w:color="FFFFFF"/>
              <w:left w:val="single" w:sz="4" w:space="0" w:color="FFFFFF"/>
              <w:bottom w:val="single" w:sz="4" w:space="0" w:color="FFFFFF"/>
              <w:right w:val="nil"/>
            </w:tcBorders>
            <w:shd w:val="clear" w:color="DBDBDB" w:fill="DBDBDB"/>
            <w:noWrap/>
            <w:vAlign w:val="bottom"/>
            <w:hideMark/>
          </w:tcPr>
          <w:p w:rsidR="00F15DAC" w:rsidRPr="00A461AF" w:rsidRDefault="00F15DAC" w:rsidP="009558FF">
            <w:pPr>
              <w:spacing w:line="360" w:lineRule="auto"/>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ACTN2 ANXA2 APOE ARRB1 ASC LOC100522011 ATP2A2 ATP6AP1 CD36 LOC100511343 CD47 CLU CNN2 DNAJC5 DOCK2 FGB LAMP1 LGALS3 LYPLA1 MFGE8 RAB7A RDX SDCBP STX4 USP7</w:t>
            </w:r>
          </w:p>
        </w:tc>
      </w:tr>
      <w:tr w:rsidR="00F15DAC" w:rsidRPr="00A461AF" w:rsidTr="009558FF">
        <w:trPr>
          <w:trHeight w:val="280"/>
        </w:trPr>
        <w:tc>
          <w:tcPr>
            <w:tcW w:w="1289" w:type="dxa"/>
            <w:tcBorders>
              <w:top w:val="single" w:sz="4" w:space="0" w:color="FFFFFF"/>
              <w:left w:val="nil"/>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GO:0010467</w:t>
            </w:r>
          </w:p>
        </w:tc>
        <w:tc>
          <w:tcPr>
            <w:tcW w:w="1919" w:type="dxa"/>
            <w:tcBorders>
              <w:top w:val="single" w:sz="4" w:space="0" w:color="FFFFFF"/>
              <w:left w:val="single" w:sz="4" w:space="0" w:color="FFFFFF"/>
              <w:bottom w:val="single" w:sz="4" w:space="0" w:color="FFFFFF"/>
              <w:right w:val="single" w:sz="4" w:space="0" w:color="FFFFFF"/>
            </w:tcBorders>
            <w:shd w:val="clear" w:color="EDEDED" w:fill="EDEDED"/>
            <w:noWrap/>
            <w:vAlign w:val="center"/>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gene expression</w:t>
            </w:r>
          </w:p>
        </w:tc>
        <w:tc>
          <w:tcPr>
            <w:tcW w:w="913"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0,00041</w:t>
            </w:r>
          </w:p>
        </w:tc>
        <w:tc>
          <w:tcPr>
            <w:tcW w:w="1408"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3,38</w:t>
            </w:r>
          </w:p>
        </w:tc>
        <w:tc>
          <w:tcPr>
            <w:tcW w:w="8477" w:type="dxa"/>
            <w:tcBorders>
              <w:top w:val="single" w:sz="4" w:space="0" w:color="FFFFFF"/>
              <w:left w:val="single" w:sz="4" w:space="0" w:color="FFFFFF"/>
              <w:bottom w:val="single" w:sz="4" w:space="0" w:color="FFFFFF"/>
              <w:right w:val="nil"/>
            </w:tcBorders>
            <w:shd w:val="clear" w:color="EDEDED" w:fill="EDEDED"/>
            <w:noWrap/>
            <w:vAlign w:val="bottom"/>
            <w:hideMark/>
          </w:tcPr>
          <w:p w:rsidR="00F15DAC" w:rsidRPr="00A461AF" w:rsidRDefault="00F15DAC" w:rsidP="009558FF">
            <w:pPr>
              <w:spacing w:line="360" w:lineRule="auto"/>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FABP4 A-FABP AARS1 ANXA4 AP3B1 APOE ARRB1 ASC LOC100522011 ATP1B1 BTK CASP1 CBFB CBX5 CD36 LOC100511343 CD47 CDK2 RAB5B CLU CNN2 CTBP1 CTSH CTSS CUL3 DARS1 DAZAP1 DDX17 DDX5 ECM1 EEF1A EEF1A1 EFTUD2 EIF2S1 EIF3E EIF3F EIF3H EIF4E EIF4G1 EPRS1 ETF1 FGB G3BP1 GARS1 GFPT1 GLRX3 HARS1 HINT1 HMGB2 HNRNPU INPP5D SRSF6 L3MBTL1 LMNA ZGLP1 LOC100526209 LOC110260088 LSM3 MECP2 METAP2 MTREX MYADM MYBBP1A NAA15 NAMPT PBEF1 NCBP1 NCK2 NDUFA13 NIBAN1 NSUN2 PADI2 PDCD5 PLD4 PMPCB PNP PRDX2 PRPF19 PRPF40A RAPSN PSMC3 PSMC5 PTBP3 PTPN6 PTRH2 PYGM QARS1 RAE1 RBBP7 RBM14 RBM4 RBM39 RBMX RDX RO60 RPL10A RPL13A RPL18 RPL19 RPL27 RPL29 RPS13 RPS19 RPS25 RPS3 RPS8 RPS9 RTCB SAFB SARNP SART1 SASH3 SERPINH1 SF3B6 SLA-DQB*G01 SLA-DQB1 SLADQB SLA-DQB SMU1 SND1 SPN SRI SRSF1 STAT1 STX4 SUB1 SUPT5H TAF15 TCIRG1 TCOF1 THBS1 THOC2 TLR2 TNC TRIM28 TUFM UFL1 USP7 VPS35 WBP11 WDR61 YWHAQ</w:t>
            </w:r>
          </w:p>
        </w:tc>
      </w:tr>
      <w:tr w:rsidR="00F15DAC" w:rsidRPr="00A461AF" w:rsidTr="009558FF">
        <w:trPr>
          <w:trHeight w:val="280"/>
        </w:trPr>
        <w:tc>
          <w:tcPr>
            <w:tcW w:w="1289" w:type="dxa"/>
            <w:tcBorders>
              <w:top w:val="single" w:sz="4" w:space="0" w:color="FFFFFF"/>
              <w:left w:val="nil"/>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GO:0002376</w:t>
            </w:r>
          </w:p>
        </w:tc>
        <w:tc>
          <w:tcPr>
            <w:tcW w:w="1919" w:type="dxa"/>
            <w:tcBorders>
              <w:top w:val="single" w:sz="4" w:space="0" w:color="FFFFFF"/>
              <w:left w:val="single" w:sz="4" w:space="0" w:color="FFFFFF"/>
              <w:bottom w:val="single" w:sz="4" w:space="0" w:color="FFFFFF"/>
              <w:right w:val="single" w:sz="4" w:space="0" w:color="FFFFFF"/>
            </w:tcBorders>
            <w:shd w:val="clear" w:color="DBDBDB" w:fill="DBDBDB"/>
            <w:noWrap/>
            <w:vAlign w:val="center"/>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immune system process</w:t>
            </w:r>
          </w:p>
        </w:tc>
        <w:tc>
          <w:tcPr>
            <w:tcW w:w="913"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0,00044</w:t>
            </w:r>
          </w:p>
        </w:tc>
        <w:tc>
          <w:tcPr>
            <w:tcW w:w="1408"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3,35</w:t>
            </w:r>
          </w:p>
        </w:tc>
        <w:tc>
          <w:tcPr>
            <w:tcW w:w="8477" w:type="dxa"/>
            <w:tcBorders>
              <w:top w:val="single" w:sz="4" w:space="0" w:color="FFFFFF"/>
              <w:left w:val="single" w:sz="4" w:space="0" w:color="FFFFFF"/>
              <w:bottom w:val="single" w:sz="4" w:space="0" w:color="FFFFFF"/>
              <w:right w:val="nil"/>
            </w:tcBorders>
            <w:shd w:val="clear" w:color="DBDBDB" w:fill="DBDBDB"/>
            <w:noWrap/>
            <w:vAlign w:val="bottom"/>
            <w:hideMark/>
          </w:tcPr>
          <w:p w:rsidR="00F15DAC" w:rsidRPr="00A461AF" w:rsidRDefault="00F15DAC" w:rsidP="009558FF">
            <w:pPr>
              <w:spacing w:line="360" w:lineRule="auto"/>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ABI1 ACTN1 ANXA2 AP3B1 APOE ASC LOC100522011 ATP6AP1 BTK CASP1 CBFB CD36 LOC100511343 CD47 CLU CNN2 CTSH CTSS DOCK2 ECM1 EPRS1 FGB G3BP1 GGT1 HMGB2 IFIT3 INPP5D ITGAL ITGB1 KIF5B LAMP1 LCP2 LGALS3 MCU Mx1 MX2 MX1 NCK2 PADI2 PLD4 PNP PRDX2 PRKCD PRMT1 PTPN6 PTPRJ RAB10 RBM14 RBM4 RO60 RPS3 SART1 SASH3 SH3KBP1 SLA-DQB*G01 SLA-DQB1 SLADQB SLA-DQB SPN STAT1 STK4 STX4 TAP1 TCIRG1 THBS1 TLR2 TRIM28 UFL1 WASF2 WDR1 WDR61</w:t>
            </w:r>
          </w:p>
        </w:tc>
      </w:tr>
      <w:tr w:rsidR="00F15DAC" w:rsidRPr="00A461AF" w:rsidTr="009558FF">
        <w:trPr>
          <w:trHeight w:val="280"/>
        </w:trPr>
        <w:tc>
          <w:tcPr>
            <w:tcW w:w="1289" w:type="dxa"/>
            <w:tcBorders>
              <w:top w:val="single" w:sz="4" w:space="0" w:color="FFFFFF"/>
              <w:left w:val="nil"/>
              <w:bottom w:val="nil"/>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lastRenderedPageBreak/>
              <w:t>GO:2001233</w:t>
            </w:r>
          </w:p>
        </w:tc>
        <w:tc>
          <w:tcPr>
            <w:tcW w:w="1919" w:type="dxa"/>
            <w:tcBorders>
              <w:top w:val="single" w:sz="4" w:space="0" w:color="FFFFFF"/>
              <w:left w:val="single" w:sz="4" w:space="0" w:color="FFFFFF"/>
              <w:bottom w:val="nil"/>
              <w:right w:val="single" w:sz="4" w:space="0" w:color="FFFFFF"/>
            </w:tcBorders>
            <w:shd w:val="clear" w:color="EDEDED" w:fill="EDEDED"/>
            <w:noWrap/>
            <w:vAlign w:val="center"/>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regulation of apoptotic signaling pathway</w:t>
            </w:r>
          </w:p>
        </w:tc>
        <w:tc>
          <w:tcPr>
            <w:tcW w:w="913" w:type="dxa"/>
            <w:tcBorders>
              <w:top w:val="single" w:sz="4" w:space="0" w:color="FFFFFF"/>
              <w:left w:val="single" w:sz="4" w:space="0" w:color="FFFFFF"/>
              <w:bottom w:val="nil"/>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0,00449</w:t>
            </w:r>
          </w:p>
        </w:tc>
        <w:tc>
          <w:tcPr>
            <w:tcW w:w="1408" w:type="dxa"/>
            <w:tcBorders>
              <w:top w:val="single" w:sz="4" w:space="0" w:color="FFFFFF"/>
              <w:left w:val="single" w:sz="4" w:space="0" w:color="FFFFFF"/>
              <w:bottom w:val="nil"/>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2,35</w:t>
            </w:r>
          </w:p>
        </w:tc>
        <w:tc>
          <w:tcPr>
            <w:tcW w:w="8477" w:type="dxa"/>
            <w:tcBorders>
              <w:top w:val="single" w:sz="4" w:space="0" w:color="FFFFFF"/>
              <w:left w:val="single" w:sz="4" w:space="0" w:color="FFFFFF"/>
              <w:bottom w:val="nil"/>
              <w:right w:val="nil"/>
            </w:tcBorders>
            <w:shd w:val="clear" w:color="EDEDED" w:fill="EDEDED"/>
            <w:noWrap/>
            <w:vAlign w:val="bottom"/>
            <w:hideMark/>
          </w:tcPr>
          <w:p w:rsidR="00F15DAC" w:rsidRPr="00A461AF" w:rsidRDefault="00F15DAC" w:rsidP="009558FF">
            <w:pPr>
              <w:spacing w:line="360" w:lineRule="auto"/>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ASC LOC100522011 CKB BAG5 CLU CTSH FGB HMGB2 LGALS3 LMNA NCK2 NDUFA13 PRDX2 PRKCD QARS1 RPS3 STK4 STX4 THBS1</w:t>
            </w:r>
          </w:p>
        </w:tc>
      </w:tr>
    </w:tbl>
    <w:p w:rsidR="00F15DAC" w:rsidRPr="00A461AF" w:rsidRDefault="00F15DAC" w:rsidP="00F15DAC">
      <w:pPr>
        <w:spacing w:line="360" w:lineRule="auto"/>
        <w:jc w:val="both"/>
        <w:rPr>
          <w:rFonts w:ascii="Times New Roman" w:eastAsia="Times New Roman" w:hAnsi="Times New Roman" w:cs="Times New Roman"/>
          <w:lang w:val="en-GB" w:eastAsia="es-ES_tradnl"/>
        </w:rPr>
      </w:pPr>
    </w:p>
    <w:p w:rsidR="00F15DAC" w:rsidRPr="00A461AF" w:rsidRDefault="00F15DAC" w:rsidP="00F15DAC">
      <w:pPr>
        <w:spacing w:line="360" w:lineRule="auto"/>
        <w:jc w:val="both"/>
        <w:rPr>
          <w:rFonts w:ascii="Times New Roman" w:eastAsia="Times New Roman" w:hAnsi="Times New Roman" w:cs="Times New Roman"/>
          <w:lang w:val="en-GB" w:eastAsia="es-ES_tradnl"/>
        </w:rPr>
      </w:pPr>
    </w:p>
    <w:p w:rsidR="00F15DAC" w:rsidRPr="00A461AF" w:rsidRDefault="00F15DAC" w:rsidP="00F15DAC">
      <w:pPr>
        <w:spacing w:line="360" w:lineRule="auto"/>
        <w:jc w:val="both"/>
        <w:rPr>
          <w:rFonts w:ascii="Times New Roman" w:eastAsia="Times New Roman" w:hAnsi="Times New Roman" w:cs="Times New Roman"/>
          <w:b/>
          <w:lang w:eastAsia="es-ES_tradnl"/>
        </w:rPr>
      </w:pPr>
    </w:p>
    <w:p w:rsidR="00F15DAC" w:rsidRPr="00A461AF" w:rsidRDefault="00F15DAC" w:rsidP="00F15DAC">
      <w:pPr>
        <w:spacing w:line="360" w:lineRule="auto"/>
        <w:jc w:val="both"/>
        <w:rPr>
          <w:rFonts w:ascii="Times New Roman" w:eastAsia="Times New Roman" w:hAnsi="Times New Roman" w:cs="Times New Roman"/>
          <w:b/>
          <w:lang w:eastAsia="es-ES_tradnl"/>
        </w:rPr>
      </w:pPr>
    </w:p>
    <w:p w:rsidR="00F15DAC" w:rsidRPr="00A461AF" w:rsidRDefault="00F15DAC" w:rsidP="00F15DAC">
      <w:pPr>
        <w:spacing w:line="360" w:lineRule="auto"/>
        <w:jc w:val="both"/>
        <w:rPr>
          <w:rFonts w:ascii="Times New Roman" w:eastAsia="Times New Roman" w:hAnsi="Times New Roman" w:cs="Times New Roman"/>
          <w:b/>
          <w:lang w:eastAsia="es-ES_tradnl"/>
        </w:rPr>
      </w:pPr>
    </w:p>
    <w:p w:rsidR="00F15DAC" w:rsidRPr="00A461AF" w:rsidRDefault="00F15DAC" w:rsidP="00F15DAC">
      <w:pPr>
        <w:spacing w:line="360" w:lineRule="auto"/>
        <w:jc w:val="both"/>
        <w:rPr>
          <w:rFonts w:ascii="Times New Roman" w:eastAsia="Times New Roman" w:hAnsi="Times New Roman" w:cs="Times New Roman"/>
          <w:b/>
          <w:lang w:eastAsia="es-ES_tradnl"/>
        </w:rPr>
      </w:pPr>
    </w:p>
    <w:p w:rsidR="00F15DAC" w:rsidRPr="00A461AF" w:rsidRDefault="00F15DAC" w:rsidP="00F15DAC">
      <w:pPr>
        <w:spacing w:line="360" w:lineRule="auto"/>
        <w:jc w:val="both"/>
        <w:rPr>
          <w:rFonts w:ascii="Times New Roman" w:eastAsia="Times New Roman" w:hAnsi="Times New Roman" w:cs="Times New Roman"/>
          <w:b/>
          <w:lang w:eastAsia="es-ES_tradnl"/>
        </w:rPr>
      </w:pPr>
    </w:p>
    <w:p w:rsidR="00F15DAC" w:rsidRPr="00A461AF" w:rsidRDefault="00F15DAC" w:rsidP="00F15DAC">
      <w:pPr>
        <w:spacing w:line="360" w:lineRule="auto"/>
        <w:jc w:val="both"/>
        <w:rPr>
          <w:rFonts w:ascii="Times New Roman" w:eastAsia="Times New Roman" w:hAnsi="Times New Roman" w:cs="Times New Roman"/>
          <w:b/>
          <w:lang w:eastAsia="es-ES_tradnl"/>
        </w:rPr>
      </w:pPr>
    </w:p>
    <w:p w:rsidR="00F15DAC" w:rsidRPr="00A461AF" w:rsidRDefault="00F15DAC" w:rsidP="00F15DAC">
      <w:pPr>
        <w:spacing w:line="360" w:lineRule="auto"/>
        <w:jc w:val="both"/>
        <w:rPr>
          <w:rFonts w:ascii="Times New Roman" w:eastAsia="Times New Roman" w:hAnsi="Times New Roman" w:cs="Times New Roman"/>
          <w:b/>
          <w:lang w:eastAsia="es-ES_tradnl"/>
        </w:rPr>
      </w:pPr>
    </w:p>
    <w:p w:rsidR="00F15DAC" w:rsidRPr="00A461AF" w:rsidRDefault="00F15DAC" w:rsidP="00F15DAC">
      <w:pPr>
        <w:spacing w:line="360" w:lineRule="auto"/>
        <w:jc w:val="both"/>
        <w:rPr>
          <w:rFonts w:ascii="Times New Roman" w:eastAsia="Times New Roman" w:hAnsi="Times New Roman" w:cs="Times New Roman"/>
          <w:lang w:eastAsia="es-ES_tradnl"/>
        </w:rPr>
      </w:pPr>
      <w:r w:rsidRPr="00A461AF">
        <w:rPr>
          <w:rFonts w:ascii="Times New Roman" w:eastAsia="Times New Roman" w:hAnsi="Times New Roman" w:cs="Times New Roman"/>
          <w:b/>
          <w:lang w:eastAsia="es-ES_tradnl"/>
        </w:rPr>
        <w:t>Table S</w:t>
      </w:r>
      <w:r>
        <w:rPr>
          <w:rFonts w:ascii="Times New Roman" w:eastAsia="Times New Roman" w:hAnsi="Times New Roman" w:cs="Times New Roman"/>
          <w:b/>
          <w:lang w:eastAsia="es-ES_tradnl"/>
        </w:rPr>
        <w:t>5</w:t>
      </w:r>
      <w:r w:rsidRPr="00A461AF">
        <w:rPr>
          <w:rFonts w:ascii="Times New Roman" w:eastAsia="Times New Roman" w:hAnsi="Times New Roman" w:cs="Times New Roman"/>
          <w:b/>
          <w:lang w:eastAsia="es-ES_tradnl"/>
        </w:rPr>
        <w:t xml:space="preserve">. </w:t>
      </w:r>
      <w:r w:rsidRPr="00A461AF">
        <w:rPr>
          <w:rFonts w:ascii="Times New Roman" w:eastAsia="Times New Roman" w:hAnsi="Times New Roman" w:cs="Times New Roman"/>
          <w:lang w:eastAsia="es-ES_tradnl"/>
        </w:rPr>
        <w:t xml:space="preserve">List of some of the main enriched Gene Ontology (GO) terms within the biological processes (BP) annotated by the discriminant proteins (DP) selected by the </w:t>
      </w:r>
      <w:proofErr w:type="spellStart"/>
      <w:r w:rsidRPr="00A461AF">
        <w:rPr>
          <w:rFonts w:ascii="Times New Roman" w:eastAsia="Times New Roman" w:hAnsi="Times New Roman" w:cs="Times New Roman"/>
          <w:lang w:eastAsia="es-ES_tradnl"/>
        </w:rPr>
        <w:t>sPLS</w:t>
      </w:r>
      <w:proofErr w:type="spellEnd"/>
      <w:r w:rsidRPr="00A461AF">
        <w:rPr>
          <w:rFonts w:ascii="Times New Roman" w:eastAsia="Times New Roman" w:hAnsi="Times New Roman" w:cs="Times New Roman"/>
          <w:lang w:eastAsia="es-ES_tradnl"/>
        </w:rPr>
        <w:t xml:space="preserve">-DA with the highest abundance in the milk </w:t>
      </w:r>
      <w:r>
        <w:rPr>
          <w:rFonts w:ascii="Times New Roman" w:eastAsia="Times New Roman" w:hAnsi="Times New Roman" w:cs="Times New Roman"/>
          <w:lang w:eastAsia="es-ES_tradnl"/>
        </w:rPr>
        <w:t>EV</w:t>
      </w:r>
      <w:r w:rsidRPr="00A461AF">
        <w:rPr>
          <w:rFonts w:ascii="Times New Roman" w:eastAsia="Times New Roman" w:hAnsi="Times New Roman" w:cs="Times New Roman"/>
          <w:lang w:eastAsia="es-ES_tradnl"/>
        </w:rPr>
        <w:t xml:space="preserve"> group.</w:t>
      </w:r>
    </w:p>
    <w:tbl>
      <w:tblPr>
        <w:tblW w:w="0" w:type="auto"/>
        <w:tblCellMar>
          <w:left w:w="70" w:type="dxa"/>
          <w:right w:w="70" w:type="dxa"/>
        </w:tblCellMar>
        <w:tblLook w:val="04A0" w:firstRow="1" w:lastRow="0" w:firstColumn="1" w:lastColumn="0" w:noHBand="0" w:noVBand="1"/>
      </w:tblPr>
      <w:tblGrid>
        <w:gridCol w:w="1400"/>
        <w:gridCol w:w="2473"/>
        <w:gridCol w:w="1491"/>
        <w:gridCol w:w="1713"/>
        <w:gridCol w:w="6931"/>
      </w:tblGrid>
      <w:tr w:rsidR="00F15DAC" w:rsidRPr="00A461AF" w:rsidTr="009558FF">
        <w:trPr>
          <w:trHeight w:val="280"/>
        </w:trPr>
        <w:tc>
          <w:tcPr>
            <w:tcW w:w="1400" w:type="dxa"/>
            <w:tcBorders>
              <w:top w:val="nil"/>
              <w:left w:val="nil"/>
              <w:bottom w:val="single" w:sz="12" w:space="0" w:color="FFFFFF"/>
              <w:right w:val="single" w:sz="4" w:space="0" w:color="FFFFFF"/>
            </w:tcBorders>
            <w:shd w:val="clear" w:color="A5A5A5" w:fill="A5A5A5"/>
            <w:noWrap/>
            <w:hideMark/>
          </w:tcPr>
          <w:p w:rsidR="00F15DAC" w:rsidRPr="00A461AF" w:rsidRDefault="00F15DAC" w:rsidP="009558FF">
            <w:pPr>
              <w:spacing w:line="360" w:lineRule="auto"/>
              <w:jc w:val="center"/>
              <w:rPr>
                <w:rFonts w:ascii="Times New Roman" w:eastAsia="Times New Roman" w:hAnsi="Times New Roman" w:cs="Times New Roman"/>
                <w:b/>
                <w:bCs/>
                <w:sz w:val="22"/>
                <w:szCs w:val="22"/>
                <w:lang w:eastAsia="es-ES_tradnl"/>
              </w:rPr>
            </w:pPr>
            <w:r w:rsidRPr="00A461AF">
              <w:rPr>
                <w:rFonts w:ascii="Times New Roman" w:eastAsia="Times New Roman" w:hAnsi="Times New Roman" w:cs="Times New Roman"/>
                <w:b/>
                <w:bCs/>
                <w:sz w:val="22"/>
                <w:szCs w:val="22"/>
                <w:lang w:eastAsia="es-ES_tradnl"/>
              </w:rPr>
              <w:t>GO Term BP</w:t>
            </w:r>
          </w:p>
        </w:tc>
        <w:tc>
          <w:tcPr>
            <w:tcW w:w="2473" w:type="dxa"/>
            <w:tcBorders>
              <w:top w:val="nil"/>
              <w:left w:val="single" w:sz="4" w:space="0" w:color="FFFFFF"/>
              <w:bottom w:val="single" w:sz="12" w:space="0" w:color="FFFFFF"/>
              <w:right w:val="single" w:sz="4" w:space="0" w:color="FFFFFF"/>
            </w:tcBorders>
            <w:shd w:val="clear" w:color="A5A5A5" w:fill="A5A5A5"/>
            <w:noWrap/>
            <w:hideMark/>
          </w:tcPr>
          <w:p w:rsidR="00F15DAC" w:rsidRPr="00A461AF" w:rsidRDefault="00F15DAC" w:rsidP="009558FF">
            <w:pPr>
              <w:spacing w:line="360" w:lineRule="auto"/>
              <w:jc w:val="center"/>
              <w:rPr>
                <w:rFonts w:ascii="Times New Roman" w:eastAsia="Times New Roman" w:hAnsi="Times New Roman" w:cs="Times New Roman"/>
                <w:b/>
                <w:bCs/>
                <w:sz w:val="22"/>
                <w:szCs w:val="22"/>
                <w:lang w:eastAsia="es-ES_tradnl"/>
              </w:rPr>
            </w:pPr>
            <w:r w:rsidRPr="00A461AF">
              <w:rPr>
                <w:rFonts w:ascii="Times New Roman" w:eastAsia="Times New Roman" w:hAnsi="Times New Roman" w:cs="Times New Roman"/>
                <w:b/>
                <w:bCs/>
                <w:sz w:val="22"/>
                <w:szCs w:val="22"/>
                <w:lang w:eastAsia="es-ES_tradnl"/>
              </w:rPr>
              <w:t>GO Term Description</w:t>
            </w:r>
          </w:p>
        </w:tc>
        <w:tc>
          <w:tcPr>
            <w:tcW w:w="0" w:type="auto"/>
            <w:tcBorders>
              <w:top w:val="nil"/>
              <w:left w:val="single" w:sz="4" w:space="0" w:color="FFFFFF"/>
              <w:bottom w:val="single" w:sz="12" w:space="0" w:color="FFFFFF"/>
              <w:right w:val="single" w:sz="4" w:space="0" w:color="FFFFFF"/>
            </w:tcBorders>
            <w:shd w:val="clear" w:color="A5A5A5" w:fill="A5A5A5"/>
            <w:noWrap/>
            <w:hideMark/>
          </w:tcPr>
          <w:p w:rsidR="00F15DAC" w:rsidRPr="00A461AF" w:rsidRDefault="00F15DAC" w:rsidP="009558FF">
            <w:pPr>
              <w:spacing w:line="360" w:lineRule="auto"/>
              <w:jc w:val="center"/>
              <w:rPr>
                <w:rFonts w:ascii="Times New Roman" w:eastAsia="Times New Roman" w:hAnsi="Times New Roman" w:cs="Times New Roman"/>
                <w:b/>
                <w:bCs/>
                <w:sz w:val="22"/>
                <w:szCs w:val="22"/>
                <w:lang w:eastAsia="es-ES_tradnl"/>
              </w:rPr>
            </w:pPr>
            <w:r>
              <w:rPr>
                <w:rFonts w:ascii="Times New Roman" w:eastAsia="Times New Roman" w:hAnsi="Times New Roman" w:cs="Times New Roman"/>
                <w:b/>
                <w:bCs/>
                <w:sz w:val="22"/>
                <w:szCs w:val="22"/>
                <w:lang w:eastAsia="es-ES_tradnl"/>
              </w:rPr>
              <w:t>p</w:t>
            </w:r>
            <w:r w:rsidRPr="00A461AF">
              <w:rPr>
                <w:rFonts w:ascii="Times New Roman" w:eastAsia="Times New Roman" w:hAnsi="Times New Roman" w:cs="Times New Roman"/>
                <w:b/>
                <w:bCs/>
                <w:sz w:val="22"/>
                <w:szCs w:val="22"/>
                <w:lang w:eastAsia="es-ES_tradnl"/>
              </w:rPr>
              <w:t>-value (FDR)</w:t>
            </w:r>
          </w:p>
        </w:tc>
        <w:tc>
          <w:tcPr>
            <w:tcW w:w="1713" w:type="dxa"/>
            <w:tcBorders>
              <w:top w:val="nil"/>
              <w:left w:val="single" w:sz="4" w:space="0" w:color="FFFFFF"/>
              <w:bottom w:val="single" w:sz="12" w:space="0" w:color="FFFFFF"/>
              <w:right w:val="single" w:sz="4" w:space="0" w:color="FFFFFF"/>
            </w:tcBorders>
            <w:shd w:val="clear" w:color="A5A5A5" w:fill="A5A5A5"/>
            <w:noWrap/>
            <w:hideMark/>
          </w:tcPr>
          <w:p w:rsidR="00F15DAC" w:rsidRPr="00A461AF" w:rsidRDefault="00F15DAC" w:rsidP="009558FF">
            <w:pPr>
              <w:spacing w:line="360" w:lineRule="auto"/>
              <w:jc w:val="center"/>
              <w:rPr>
                <w:rFonts w:ascii="Times New Roman" w:eastAsia="Times New Roman" w:hAnsi="Times New Roman" w:cs="Times New Roman"/>
                <w:b/>
                <w:bCs/>
                <w:sz w:val="22"/>
                <w:szCs w:val="22"/>
                <w:lang w:eastAsia="es-ES_tradnl"/>
              </w:rPr>
            </w:pPr>
            <w:r w:rsidRPr="00A461AF">
              <w:rPr>
                <w:rFonts w:ascii="Times New Roman" w:eastAsia="Times New Roman" w:hAnsi="Times New Roman" w:cs="Times New Roman"/>
                <w:b/>
                <w:bCs/>
                <w:sz w:val="22"/>
                <w:szCs w:val="22"/>
                <w:lang w:eastAsia="es-ES_tradnl"/>
              </w:rPr>
              <w:t>-log10(FDR)</w:t>
            </w:r>
          </w:p>
        </w:tc>
        <w:tc>
          <w:tcPr>
            <w:tcW w:w="6931" w:type="dxa"/>
            <w:tcBorders>
              <w:top w:val="nil"/>
              <w:left w:val="single" w:sz="4" w:space="0" w:color="FFFFFF"/>
              <w:bottom w:val="single" w:sz="12" w:space="0" w:color="FFFFFF"/>
              <w:right w:val="single" w:sz="4" w:space="0" w:color="FFFFFF"/>
            </w:tcBorders>
            <w:shd w:val="clear" w:color="A5A5A5" w:fill="A5A5A5"/>
            <w:noWrap/>
            <w:hideMark/>
          </w:tcPr>
          <w:p w:rsidR="00F15DAC" w:rsidRPr="00A461AF" w:rsidRDefault="00F15DAC" w:rsidP="009558FF">
            <w:pPr>
              <w:spacing w:line="360" w:lineRule="auto"/>
              <w:jc w:val="center"/>
              <w:rPr>
                <w:rFonts w:ascii="Times New Roman" w:eastAsia="Times New Roman" w:hAnsi="Times New Roman" w:cs="Times New Roman"/>
                <w:b/>
                <w:bCs/>
                <w:sz w:val="22"/>
                <w:szCs w:val="22"/>
                <w:lang w:eastAsia="es-ES_tradnl"/>
              </w:rPr>
            </w:pPr>
            <w:r w:rsidRPr="00A461AF">
              <w:rPr>
                <w:rFonts w:ascii="Times New Roman" w:eastAsia="Times New Roman" w:hAnsi="Times New Roman" w:cs="Times New Roman"/>
                <w:b/>
                <w:bCs/>
                <w:sz w:val="22"/>
                <w:szCs w:val="22"/>
                <w:lang w:eastAsia="es-ES_tradnl"/>
              </w:rPr>
              <w:t>Annotated Proteins (Gene Name)</w:t>
            </w:r>
          </w:p>
        </w:tc>
      </w:tr>
      <w:tr w:rsidR="00F15DAC" w:rsidRPr="00A461AF" w:rsidTr="009558FF">
        <w:trPr>
          <w:trHeight w:val="280"/>
        </w:trPr>
        <w:tc>
          <w:tcPr>
            <w:tcW w:w="1400" w:type="dxa"/>
            <w:tcBorders>
              <w:top w:val="single" w:sz="4" w:space="0" w:color="FFFFFF"/>
              <w:left w:val="nil"/>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GO:1990748</w:t>
            </w:r>
          </w:p>
        </w:tc>
        <w:tc>
          <w:tcPr>
            <w:tcW w:w="2473" w:type="dxa"/>
            <w:tcBorders>
              <w:top w:val="single" w:sz="4" w:space="0" w:color="FFFFFF"/>
              <w:left w:val="single" w:sz="4" w:space="0" w:color="FFFFFF"/>
              <w:bottom w:val="single" w:sz="4" w:space="0" w:color="FFFFFF"/>
              <w:right w:val="single" w:sz="4" w:space="0" w:color="FFFFFF"/>
            </w:tcBorders>
            <w:shd w:val="clear" w:color="DBDBDB" w:fill="DBDBDB"/>
            <w:noWrap/>
            <w:vAlign w:val="center"/>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cellular detoxification</w:t>
            </w:r>
          </w:p>
        </w:tc>
        <w:tc>
          <w:tcPr>
            <w:tcW w:w="0" w:type="auto"/>
            <w:tcBorders>
              <w:top w:val="single" w:sz="4" w:space="0" w:color="FFFFFF"/>
              <w:left w:val="single" w:sz="4" w:space="0" w:color="FFFFFF"/>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0,01</w:t>
            </w:r>
          </w:p>
        </w:tc>
        <w:tc>
          <w:tcPr>
            <w:tcW w:w="1713"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1,85</w:t>
            </w:r>
          </w:p>
        </w:tc>
        <w:tc>
          <w:tcPr>
            <w:tcW w:w="6931" w:type="dxa"/>
            <w:tcBorders>
              <w:top w:val="single" w:sz="4" w:space="0" w:color="FFFFFF"/>
              <w:left w:val="single" w:sz="4" w:space="0" w:color="FFFFFF"/>
              <w:bottom w:val="single" w:sz="4" w:space="0" w:color="FFFFFF"/>
              <w:right w:val="single" w:sz="4" w:space="0" w:color="FFFFFF"/>
            </w:tcBorders>
            <w:shd w:val="clear" w:color="DBDBDB" w:fill="DBDBDB"/>
            <w:noWrap/>
            <w:vAlign w:val="bottom"/>
            <w:hideMark/>
          </w:tcPr>
          <w:p w:rsidR="00F15DAC" w:rsidRPr="00A461AF" w:rsidRDefault="00F15DAC" w:rsidP="009558FF">
            <w:pPr>
              <w:spacing w:line="360" w:lineRule="auto"/>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AKR1A1 CD36 LOC100511343 ESD</w:t>
            </w:r>
          </w:p>
        </w:tc>
      </w:tr>
      <w:tr w:rsidR="00F15DAC" w:rsidRPr="00A461AF" w:rsidTr="009558FF">
        <w:trPr>
          <w:trHeight w:val="280"/>
        </w:trPr>
        <w:tc>
          <w:tcPr>
            <w:tcW w:w="1400" w:type="dxa"/>
            <w:tcBorders>
              <w:top w:val="single" w:sz="4" w:space="0" w:color="FFFFFF"/>
              <w:left w:val="nil"/>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GO:0071726</w:t>
            </w:r>
          </w:p>
        </w:tc>
        <w:tc>
          <w:tcPr>
            <w:tcW w:w="2473" w:type="dxa"/>
            <w:tcBorders>
              <w:top w:val="single" w:sz="4" w:space="0" w:color="FFFFFF"/>
              <w:left w:val="single" w:sz="4" w:space="0" w:color="FFFFFF"/>
              <w:bottom w:val="single" w:sz="4" w:space="0" w:color="FFFFFF"/>
              <w:right w:val="single" w:sz="4" w:space="0" w:color="FFFFFF"/>
            </w:tcBorders>
            <w:shd w:val="clear" w:color="EDEDED" w:fill="EDEDED"/>
            <w:noWrap/>
            <w:vAlign w:val="center"/>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cellular response to diacyl bacterial lipopeptide</w:t>
            </w:r>
          </w:p>
        </w:tc>
        <w:tc>
          <w:tcPr>
            <w:tcW w:w="0" w:type="auto"/>
            <w:tcBorders>
              <w:top w:val="single" w:sz="4" w:space="0" w:color="FFFFFF"/>
              <w:left w:val="single" w:sz="4" w:space="0" w:color="FFFFFF"/>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0,01</w:t>
            </w:r>
          </w:p>
        </w:tc>
        <w:tc>
          <w:tcPr>
            <w:tcW w:w="1713"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1,85</w:t>
            </w:r>
          </w:p>
        </w:tc>
        <w:tc>
          <w:tcPr>
            <w:tcW w:w="6931" w:type="dxa"/>
            <w:tcBorders>
              <w:top w:val="single" w:sz="4" w:space="0" w:color="FFFFFF"/>
              <w:left w:val="single" w:sz="4" w:space="0" w:color="FFFFFF"/>
              <w:bottom w:val="single" w:sz="4" w:space="0" w:color="FFFFFF"/>
              <w:right w:val="single" w:sz="4" w:space="0" w:color="FFFFFF"/>
            </w:tcBorders>
            <w:shd w:val="clear" w:color="EDEDED" w:fill="EDEDED"/>
            <w:noWrap/>
            <w:vAlign w:val="bottom"/>
            <w:hideMark/>
          </w:tcPr>
          <w:p w:rsidR="00F15DAC" w:rsidRPr="00A461AF" w:rsidRDefault="00F15DAC" w:rsidP="009558FF">
            <w:pPr>
              <w:spacing w:line="360" w:lineRule="auto"/>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CD36 LOC100511343 TLR2</w:t>
            </w:r>
          </w:p>
        </w:tc>
      </w:tr>
      <w:tr w:rsidR="00F15DAC" w:rsidRPr="00A461AF" w:rsidTr="009558FF">
        <w:trPr>
          <w:trHeight w:val="280"/>
        </w:trPr>
        <w:tc>
          <w:tcPr>
            <w:tcW w:w="1400" w:type="dxa"/>
            <w:tcBorders>
              <w:top w:val="single" w:sz="4" w:space="0" w:color="FFFFFF"/>
              <w:left w:val="nil"/>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GO:0007263</w:t>
            </w:r>
          </w:p>
        </w:tc>
        <w:tc>
          <w:tcPr>
            <w:tcW w:w="2473" w:type="dxa"/>
            <w:tcBorders>
              <w:top w:val="single" w:sz="4" w:space="0" w:color="FFFFFF"/>
              <w:left w:val="single" w:sz="4" w:space="0" w:color="FFFFFF"/>
              <w:bottom w:val="single" w:sz="4" w:space="0" w:color="FFFFFF"/>
              <w:right w:val="single" w:sz="4" w:space="0" w:color="FFFFFF"/>
            </w:tcBorders>
            <w:shd w:val="clear" w:color="DBDBDB" w:fill="DBDBDB"/>
            <w:noWrap/>
            <w:vAlign w:val="center"/>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nitric oxide mediated signal transduction</w:t>
            </w:r>
          </w:p>
        </w:tc>
        <w:tc>
          <w:tcPr>
            <w:tcW w:w="0" w:type="auto"/>
            <w:tcBorders>
              <w:top w:val="single" w:sz="4" w:space="0" w:color="FFFFFF"/>
              <w:left w:val="single" w:sz="4" w:space="0" w:color="FFFFFF"/>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0,03</w:t>
            </w:r>
          </w:p>
        </w:tc>
        <w:tc>
          <w:tcPr>
            <w:tcW w:w="1713"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1,55</w:t>
            </w:r>
          </w:p>
        </w:tc>
        <w:tc>
          <w:tcPr>
            <w:tcW w:w="6931" w:type="dxa"/>
            <w:tcBorders>
              <w:top w:val="single" w:sz="4" w:space="0" w:color="FFFFFF"/>
              <w:left w:val="single" w:sz="4" w:space="0" w:color="FFFFFF"/>
              <w:bottom w:val="single" w:sz="4" w:space="0" w:color="FFFFFF"/>
              <w:right w:val="single" w:sz="4" w:space="0" w:color="FFFFFF"/>
            </w:tcBorders>
            <w:shd w:val="clear" w:color="DBDBDB" w:fill="DBDBDB"/>
            <w:noWrap/>
            <w:vAlign w:val="bottom"/>
            <w:hideMark/>
          </w:tcPr>
          <w:p w:rsidR="00F15DAC" w:rsidRPr="00A461AF" w:rsidRDefault="00F15DAC" w:rsidP="009558FF">
            <w:pPr>
              <w:spacing w:line="360" w:lineRule="auto"/>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APOE CD36 LOC100511343</w:t>
            </w:r>
          </w:p>
        </w:tc>
      </w:tr>
      <w:tr w:rsidR="00F15DAC" w:rsidRPr="00A461AF" w:rsidTr="009558FF">
        <w:trPr>
          <w:trHeight w:val="280"/>
        </w:trPr>
        <w:tc>
          <w:tcPr>
            <w:tcW w:w="1400" w:type="dxa"/>
            <w:tcBorders>
              <w:top w:val="single" w:sz="4" w:space="0" w:color="FFFFFF"/>
              <w:left w:val="nil"/>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GO:0019934</w:t>
            </w:r>
          </w:p>
        </w:tc>
        <w:tc>
          <w:tcPr>
            <w:tcW w:w="2473" w:type="dxa"/>
            <w:tcBorders>
              <w:top w:val="single" w:sz="4" w:space="0" w:color="FFFFFF"/>
              <w:left w:val="single" w:sz="4" w:space="0" w:color="FFFFFF"/>
              <w:bottom w:val="single" w:sz="4" w:space="0" w:color="FFFFFF"/>
              <w:right w:val="single" w:sz="4" w:space="0" w:color="FFFFFF"/>
            </w:tcBorders>
            <w:shd w:val="clear" w:color="EDEDED" w:fill="EDEDED"/>
            <w:noWrap/>
            <w:vAlign w:val="center"/>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cGMP-mediated signaling</w:t>
            </w:r>
          </w:p>
        </w:tc>
        <w:tc>
          <w:tcPr>
            <w:tcW w:w="0" w:type="auto"/>
            <w:tcBorders>
              <w:top w:val="single" w:sz="4" w:space="0" w:color="FFFFFF"/>
              <w:left w:val="single" w:sz="4" w:space="0" w:color="FFFFFF"/>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0,03</w:t>
            </w:r>
          </w:p>
        </w:tc>
        <w:tc>
          <w:tcPr>
            <w:tcW w:w="1713"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15DAC" w:rsidRPr="00A461AF" w:rsidRDefault="00F15DAC" w:rsidP="009558FF">
            <w:pPr>
              <w:spacing w:line="360" w:lineRule="auto"/>
              <w:jc w:val="center"/>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1,54</w:t>
            </w:r>
          </w:p>
        </w:tc>
        <w:tc>
          <w:tcPr>
            <w:tcW w:w="6931" w:type="dxa"/>
            <w:tcBorders>
              <w:top w:val="single" w:sz="4" w:space="0" w:color="FFFFFF"/>
              <w:left w:val="single" w:sz="4" w:space="0" w:color="FFFFFF"/>
              <w:bottom w:val="single" w:sz="4" w:space="0" w:color="FFFFFF"/>
              <w:right w:val="single" w:sz="4" w:space="0" w:color="FFFFFF"/>
            </w:tcBorders>
            <w:shd w:val="clear" w:color="EDEDED" w:fill="EDEDED"/>
            <w:noWrap/>
            <w:vAlign w:val="bottom"/>
            <w:hideMark/>
          </w:tcPr>
          <w:p w:rsidR="00F15DAC" w:rsidRPr="00A461AF" w:rsidRDefault="00F15DAC" w:rsidP="009558FF">
            <w:pPr>
              <w:spacing w:line="360" w:lineRule="auto"/>
              <w:rPr>
                <w:rFonts w:ascii="Times New Roman" w:eastAsia="Times New Roman" w:hAnsi="Times New Roman" w:cs="Times New Roman"/>
                <w:sz w:val="22"/>
                <w:szCs w:val="22"/>
                <w:lang w:eastAsia="es-ES_tradnl"/>
              </w:rPr>
            </w:pPr>
            <w:r w:rsidRPr="00A461AF">
              <w:rPr>
                <w:rFonts w:ascii="Times New Roman" w:eastAsia="Times New Roman" w:hAnsi="Times New Roman" w:cs="Times New Roman"/>
                <w:sz w:val="22"/>
                <w:szCs w:val="22"/>
                <w:lang w:eastAsia="es-ES_tradnl"/>
              </w:rPr>
              <w:t>APOE CD36 LOC100511343</w:t>
            </w:r>
          </w:p>
        </w:tc>
      </w:tr>
    </w:tbl>
    <w:p w:rsidR="00765ABC" w:rsidRDefault="00765ABC">
      <w:bookmarkStart w:id="0" w:name="_GoBack"/>
      <w:bookmarkEnd w:id="0"/>
    </w:p>
    <w:sectPr w:rsidR="00765ABC" w:rsidSect="00F15DAC">
      <w:pgSz w:w="16838" w:h="11906" w:orient="landscape"/>
      <w:pgMar w:top="1134" w:right="141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c1tDS0NDY0M7M0MDBR0lEKTi0uzszPAykwrAUAhh+xkiwAAAA="/>
  </w:docVars>
  <w:rsids>
    <w:rsidRoot w:val="00F15DAC"/>
    <w:rsid w:val="00765ABC"/>
    <w:rsid w:val="00F15DA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8E59C4-A452-4F44-8481-B83FDA387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F15DAC"/>
    <w:pPr>
      <w:spacing w:after="0" w:line="240" w:lineRule="auto"/>
    </w:pPr>
    <w:rPr>
      <w:sz w:val="24"/>
      <w:szCs w:val="24"/>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845</Words>
  <Characters>4822</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Fabrizio Ceciliani</dc:creator>
  <cp:keywords/>
  <dc:description/>
  <cp:lastModifiedBy>Fabrizio Ceciliani</cp:lastModifiedBy>
  <cp:revision>1</cp:revision>
  <dcterms:created xsi:type="dcterms:W3CDTF">2024-08-07T15:46:00Z</dcterms:created>
  <dcterms:modified xsi:type="dcterms:W3CDTF">2024-08-07T15:47:00Z</dcterms:modified>
</cp:coreProperties>
</file>