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2C526D" w14:textId="33A94E11" w:rsidR="00B044AE" w:rsidRPr="00B044AE" w:rsidRDefault="00B044AE" w:rsidP="00B044AE">
      <w:pPr>
        <w:spacing w:after="16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IN"/>
        </w:rPr>
      </w:pPr>
      <w:r w:rsidRPr="00B044AE">
        <w:rPr>
          <w:rFonts w:ascii="Times New Roman" w:eastAsia="Calibri" w:hAnsi="Times New Roman" w:cs="Times New Roman"/>
          <w:b/>
          <w:bCs/>
          <w:sz w:val="24"/>
          <w:szCs w:val="24"/>
          <w:lang w:val="en-IN"/>
        </w:rPr>
        <w:t xml:space="preserve">Table 1. </w:t>
      </w:r>
      <w:r w:rsidRPr="00B044AE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Survey on incidence of </w:t>
      </w:r>
      <w:proofErr w:type="spellStart"/>
      <w:r w:rsidRPr="00B044AE">
        <w:rPr>
          <w:rFonts w:ascii="Times New Roman" w:eastAsia="Calibri" w:hAnsi="Times New Roman" w:cs="Times New Roman"/>
          <w:i/>
          <w:iCs/>
          <w:sz w:val="24"/>
          <w:szCs w:val="24"/>
          <w:lang w:val="en-IN"/>
        </w:rPr>
        <w:t>Choanephora</w:t>
      </w:r>
      <w:proofErr w:type="spellEnd"/>
      <w:r w:rsidRPr="00B044AE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blight of okra in different major okra growing districts of Odisha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27"/>
        <w:gridCol w:w="2229"/>
        <w:gridCol w:w="2701"/>
        <w:gridCol w:w="1807"/>
        <w:gridCol w:w="1912"/>
      </w:tblGrid>
      <w:tr w:rsidR="00B044AE" w:rsidRPr="00B044AE" w14:paraId="212CA11C" w14:textId="77777777" w:rsidTr="005007EB">
        <w:trPr>
          <w:trHeight w:val="487"/>
        </w:trPr>
        <w:tc>
          <w:tcPr>
            <w:tcW w:w="1156" w:type="dxa"/>
            <w:vAlign w:val="center"/>
          </w:tcPr>
          <w:p w14:paraId="436309EC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2766" w:type="dxa"/>
            <w:vAlign w:val="center"/>
          </w:tcPr>
          <w:p w14:paraId="498072E8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Name of the district</w:t>
            </w:r>
          </w:p>
        </w:tc>
        <w:tc>
          <w:tcPr>
            <w:tcW w:w="3349" w:type="dxa"/>
            <w:vAlign w:val="center"/>
          </w:tcPr>
          <w:p w14:paraId="5FC515C1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Geographical coordinates in DMS (degrees, minutes, seconds)</w:t>
            </w:r>
          </w:p>
        </w:tc>
        <w:tc>
          <w:tcPr>
            <w:tcW w:w="2270" w:type="dxa"/>
            <w:vAlign w:val="center"/>
          </w:tcPr>
          <w:p w14:paraId="26E08766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Number of fields surveyed</w:t>
            </w:r>
          </w:p>
        </w:tc>
        <w:tc>
          <w:tcPr>
            <w:tcW w:w="2400" w:type="dxa"/>
            <w:vAlign w:val="center"/>
          </w:tcPr>
          <w:p w14:paraId="0EB71851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Percent Disease Incidence range</w:t>
            </w:r>
          </w:p>
        </w:tc>
      </w:tr>
      <w:tr w:rsidR="00B044AE" w:rsidRPr="00B044AE" w14:paraId="051253AC" w14:textId="77777777" w:rsidTr="005007EB">
        <w:trPr>
          <w:trHeight w:val="245"/>
        </w:trPr>
        <w:tc>
          <w:tcPr>
            <w:tcW w:w="1156" w:type="dxa"/>
            <w:vAlign w:val="center"/>
          </w:tcPr>
          <w:p w14:paraId="482D862A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6" w:type="dxa"/>
            <w:vAlign w:val="center"/>
          </w:tcPr>
          <w:p w14:paraId="1580CEAE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Balasore</w:t>
            </w:r>
          </w:p>
        </w:tc>
        <w:tc>
          <w:tcPr>
            <w:tcW w:w="3349" w:type="dxa"/>
            <w:vAlign w:val="center"/>
          </w:tcPr>
          <w:p w14:paraId="09859F63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N21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◦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30'6.155''</w:t>
            </w:r>
          </w:p>
          <w:p w14:paraId="664058F4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E86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55'18.016''</w:t>
            </w:r>
          </w:p>
        </w:tc>
        <w:tc>
          <w:tcPr>
            <w:tcW w:w="2270" w:type="dxa"/>
            <w:vAlign w:val="center"/>
          </w:tcPr>
          <w:p w14:paraId="4DA16720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0" w:type="dxa"/>
            <w:vAlign w:val="center"/>
          </w:tcPr>
          <w:p w14:paraId="43FE1256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0 - 20</w:t>
            </w:r>
          </w:p>
        </w:tc>
      </w:tr>
      <w:tr w:rsidR="00B044AE" w:rsidRPr="00B044AE" w14:paraId="006F621B" w14:textId="77777777" w:rsidTr="005007EB">
        <w:trPr>
          <w:trHeight w:val="240"/>
        </w:trPr>
        <w:tc>
          <w:tcPr>
            <w:tcW w:w="1156" w:type="dxa"/>
            <w:vAlign w:val="center"/>
          </w:tcPr>
          <w:p w14:paraId="2B20AC93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6" w:type="dxa"/>
            <w:vAlign w:val="center"/>
          </w:tcPr>
          <w:p w14:paraId="1F895AFF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Bhadrak</w:t>
            </w:r>
            <w:proofErr w:type="spellEnd"/>
          </w:p>
        </w:tc>
        <w:tc>
          <w:tcPr>
            <w:tcW w:w="3349" w:type="dxa"/>
            <w:vAlign w:val="center"/>
          </w:tcPr>
          <w:p w14:paraId="7374A912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N21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◦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3'27.642''</w:t>
            </w:r>
          </w:p>
          <w:p w14:paraId="5D871FD5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E86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◦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29'47.008''</w:t>
            </w:r>
          </w:p>
        </w:tc>
        <w:tc>
          <w:tcPr>
            <w:tcW w:w="2270" w:type="dxa"/>
            <w:vAlign w:val="center"/>
          </w:tcPr>
          <w:p w14:paraId="23DD17CE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0" w:type="dxa"/>
            <w:vAlign w:val="center"/>
          </w:tcPr>
          <w:p w14:paraId="73E7031D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0 - 10</w:t>
            </w:r>
          </w:p>
        </w:tc>
      </w:tr>
      <w:tr w:rsidR="00B044AE" w:rsidRPr="00B044AE" w14:paraId="6C669C68" w14:textId="77777777" w:rsidTr="005007EB">
        <w:trPr>
          <w:trHeight w:val="245"/>
        </w:trPr>
        <w:tc>
          <w:tcPr>
            <w:tcW w:w="1156" w:type="dxa"/>
            <w:vAlign w:val="center"/>
          </w:tcPr>
          <w:p w14:paraId="4C134EF2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6" w:type="dxa"/>
            <w:vAlign w:val="center"/>
          </w:tcPr>
          <w:p w14:paraId="1BC8690B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Cuttack</w:t>
            </w:r>
          </w:p>
        </w:tc>
        <w:tc>
          <w:tcPr>
            <w:tcW w:w="3349" w:type="dxa"/>
            <w:vAlign w:val="center"/>
          </w:tcPr>
          <w:p w14:paraId="727282BD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N20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◦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28'6.96''</w:t>
            </w:r>
          </w:p>
          <w:p w14:paraId="2E0E9242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E85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◦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52'45.119''</w:t>
            </w:r>
          </w:p>
        </w:tc>
        <w:tc>
          <w:tcPr>
            <w:tcW w:w="2270" w:type="dxa"/>
            <w:vAlign w:val="center"/>
          </w:tcPr>
          <w:p w14:paraId="000DC2BA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0" w:type="dxa"/>
            <w:vAlign w:val="center"/>
          </w:tcPr>
          <w:p w14:paraId="2AF3F765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0 - 17</w:t>
            </w:r>
          </w:p>
        </w:tc>
      </w:tr>
      <w:tr w:rsidR="00B044AE" w:rsidRPr="00B044AE" w14:paraId="70FB6FBA" w14:textId="77777777" w:rsidTr="005007EB">
        <w:trPr>
          <w:trHeight w:val="245"/>
        </w:trPr>
        <w:tc>
          <w:tcPr>
            <w:tcW w:w="1156" w:type="dxa"/>
            <w:vAlign w:val="center"/>
          </w:tcPr>
          <w:p w14:paraId="378B2A88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6" w:type="dxa"/>
            <w:vAlign w:val="center"/>
          </w:tcPr>
          <w:p w14:paraId="70EB7AD8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Jajpur</w:t>
            </w:r>
            <w:proofErr w:type="spellEnd"/>
          </w:p>
        </w:tc>
        <w:tc>
          <w:tcPr>
            <w:tcW w:w="3349" w:type="dxa"/>
            <w:vAlign w:val="center"/>
          </w:tcPr>
          <w:p w14:paraId="14D4AFB3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N20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51'8.171''</w:t>
            </w:r>
          </w:p>
          <w:p w14:paraId="3E6529FD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E86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20'18.857''</w:t>
            </w:r>
          </w:p>
        </w:tc>
        <w:tc>
          <w:tcPr>
            <w:tcW w:w="2270" w:type="dxa"/>
            <w:vAlign w:val="center"/>
          </w:tcPr>
          <w:p w14:paraId="4A089F15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0" w:type="dxa"/>
            <w:vAlign w:val="center"/>
          </w:tcPr>
          <w:p w14:paraId="47CBD01B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0 - 13</w:t>
            </w:r>
          </w:p>
        </w:tc>
      </w:tr>
      <w:tr w:rsidR="00B044AE" w:rsidRPr="00B044AE" w14:paraId="460FCB60" w14:textId="77777777" w:rsidTr="005007EB">
        <w:trPr>
          <w:trHeight w:val="240"/>
        </w:trPr>
        <w:tc>
          <w:tcPr>
            <w:tcW w:w="1156" w:type="dxa"/>
            <w:vAlign w:val="center"/>
          </w:tcPr>
          <w:p w14:paraId="78FA1D31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6" w:type="dxa"/>
            <w:vAlign w:val="center"/>
          </w:tcPr>
          <w:p w14:paraId="2E3ECCEC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Khordha</w:t>
            </w:r>
            <w:proofErr w:type="spellEnd"/>
          </w:p>
        </w:tc>
        <w:tc>
          <w:tcPr>
            <w:tcW w:w="3349" w:type="dxa"/>
            <w:vAlign w:val="center"/>
          </w:tcPr>
          <w:p w14:paraId="3A4857C5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N20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13'32.33''</w:t>
            </w:r>
          </w:p>
          <w:p w14:paraId="045BF8D6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E85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33'38.14''</w:t>
            </w:r>
          </w:p>
        </w:tc>
        <w:tc>
          <w:tcPr>
            <w:tcW w:w="2270" w:type="dxa"/>
            <w:vAlign w:val="center"/>
          </w:tcPr>
          <w:p w14:paraId="5765DC2B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0" w:type="dxa"/>
            <w:vAlign w:val="center"/>
          </w:tcPr>
          <w:p w14:paraId="79BC40D3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25 - 35</w:t>
            </w:r>
          </w:p>
        </w:tc>
      </w:tr>
      <w:tr w:rsidR="00B044AE" w:rsidRPr="00B044AE" w14:paraId="3EAC2AAB" w14:textId="77777777" w:rsidTr="005007EB">
        <w:trPr>
          <w:trHeight w:val="245"/>
        </w:trPr>
        <w:tc>
          <w:tcPr>
            <w:tcW w:w="1156" w:type="dxa"/>
            <w:vAlign w:val="center"/>
          </w:tcPr>
          <w:p w14:paraId="66F9EAEE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6" w:type="dxa"/>
            <w:vAlign w:val="center"/>
          </w:tcPr>
          <w:p w14:paraId="1CB68A20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Mayurbhanj</w:t>
            </w:r>
          </w:p>
        </w:tc>
        <w:tc>
          <w:tcPr>
            <w:tcW w:w="3349" w:type="dxa"/>
            <w:vAlign w:val="center"/>
          </w:tcPr>
          <w:p w14:paraId="21DDA30D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r w:rsidRPr="00B044AE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56'24.861''</w:t>
            </w:r>
          </w:p>
          <w:p w14:paraId="4EC4F0C1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B044AE">
              <w:rPr>
                <w:rFonts w:ascii="Calibri" w:eastAsia="Calibri" w:hAnsi="Calibri" w:cs="Times New Roman"/>
                <w:sz w:val="24"/>
                <w:szCs w:val="24"/>
              </w:rPr>
              <w:t xml:space="preserve"> 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◦</w:t>
            </w: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7'26.955''</w:t>
            </w:r>
          </w:p>
        </w:tc>
        <w:tc>
          <w:tcPr>
            <w:tcW w:w="2270" w:type="dxa"/>
            <w:vAlign w:val="center"/>
          </w:tcPr>
          <w:p w14:paraId="7454FD71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0" w:type="dxa"/>
            <w:vAlign w:val="center"/>
          </w:tcPr>
          <w:p w14:paraId="7B8BD660" w14:textId="77777777" w:rsidR="00B044AE" w:rsidRPr="00B044AE" w:rsidRDefault="00B044AE" w:rsidP="00B044A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44AE">
              <w:rPr>
                <w:rFonts w:ascii="Times New Roman" w:eastAsia="Calibri" w:hAnsi="Times New Roman" w:cs="Times New Roman"/>
                <w:sz w:val="24"/>
                <w:szCs w:val="24"/>
              </w:rPr>
              <w:t>0 - 16</w:t>
            </w:r>
          </w:p>
        </w:tc>
      </w:tr>
    </w:tbl>
    <w:p w14:paraId="70E863B1" w14:textId="77777777" w:rsidR="00B044AE" w:rsidRDefault="00B044AE"/>
    <w:p w14:paraId="5491892C" w14:textId="6E482DE8" w:rsidR="00B044AE" w:rsidRDefault="00B044AE"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2. </w:t>
      </w:r>
      <w:r w:rsidRPr="00B044AE">
        <w:rPr>
          <w:rFonts w:ascii="Times New Roman" w:hAnsi="Times New Roman" w:cs="Times New Roman"/>
          <w:sz w:val="24"/>
          <w:szCs w:val="24"/>
        </w:rPr>
        <w:t xml:space="preserve">Cultural characters of </w:t>
      </w:r>
      <w:proofErr w:type="spellStart"/>
      <w:r w:rsidRPr="00B044AE">
        <w:rPr>
          <w:rFonts w:ascii="Times New Roman" w:hAnsi="Times New Roman" w:cs="Times New Roman"/>
          <w:i/>
          <w:sz w:val="24"/>
          <w:szCs w:val="24"/>
        </w:rPr>
        <w:t>Choanephora</w:t>
      </w:r>
      <w:proofErr w:type="spellEnd"/>
      <w:r w:rsidRPr="00B044A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44AE">
        <w:rPr>
          <w:rFonts w:ascii="Times New Roman" w:hAnsi="Times New Roman" w:cs="Times New Roman"/>
          <w:i/>
          <w:sz w:val="24"/>
          <w:szCs w:val="24"/>
        </w:rPr>
        <w:t>cucurbitarum</w:t>
      </w:r>
      <w:proofErr w:type="spellEnd"/>
      <w:r w:rsidRPr="00B044AE">
        <w:rPr>
          <w:rFonts w:ascii="Times New Roman" w:hAnsi="Times New Roman" w:cs="Times New Roman"/>
          <w:sz w:val="24"/>
          <w:szCs w:val="24"/>
        </w:rPr>
        <w:t xml:space="preserve"> in different media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570"/>
        <w:gridCol w:w="1095"/>
        <w:gridCol w:w="976"/>
        <w:gridCol w:w="976"/>
        <w:gridCol w:w="1429"/>
        <w:gridCol w:w="4560"/>
      </w:tblGrid>
      <w:tr w:rsidR="00B044AE" w:rsidRPr="00B044AE" w14:paraId="2A12156F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167E5C0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Sl. No.</w:t>
            </w:r>
          </w:p>
        </w:tc>
        <w:tc>
          <w:tcPr>
            <w:tcW w:w="1095" w:type="dxa"/>
            <w:vAlign w:val="center"/>
          </w:tcPr>
          <w:p w14:paraId="089CE9B6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Medium</w:t>
            </w:r>
          </w:p>
        </w:tc>
        <w:tc>
          <w:tcPr>
            <w:tcW w:w="976" w:type="dxa"/>
            <w:vAlign w:val="center"/>
          </w:tcPr>
          <w:p w14:paraId="06BE9FF2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Colony colour</w:t>
            </w:r>
          </w:p>
        </w:tc>
        <w:tc>
          <w:tcPr>
            <w:tcW w:w="976" w:type="dxa"/>
            <w:vAlign w:val="center"/>
          </w:tcPr>
          <w:p w14:paraId="5A0ABC90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Colour of hyphae</w:t>
            </w:r>
          </w:p>
        </w:tc>
        <w:tc>
          <w:tcPr>
            <w:tcW w:w="1429" w:type="dxa"/>
            <w:vAlign w:val="center"/>
          </w:tcPr>
          <w:p w14:paraId="68F0BC3F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Sporulation</w:t>
            </w:r>
          </w:p>
        </w:tc>
        <w:tc>
          <w:tcPr>
            <w:tcW w:w="4560" w:type="dxa"/>
            <w:vAlign w:val="center"/>
          </w:tcPr>
          <w:p w14:paraId="7672B837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Growth pattern</w:t>
            </w:r>
          </w:p>
        </w:tc>
      </w:tr>
      <w:tr w:rsidR="00B044AE" w:rsidRPr="00B044AE" w14:paraId="362DDA8A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12CD1C1E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1.</w:t>
            </w:r>
          </w:p>
        </w:tc>
        <w:tc>
          <w:tcPr>
            <w:tcW w:w="1095" w:type="dxa"/>
            <w:vAlign w:val="center"/>
          </w:tcPr>
          <w:p w14:paraId="61BC67BD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Potato Dextrose Agar</w:t>
            </w:r>
          </w:p>
        </w:tc>
        <w:tc>
          <w:tcPr>
            <w:tcW w:w="976" w:type="dxa"/>
            <w:vAlign w:val="center"/>
          </w:tcPr>
          <w:p w14:paraId="13E4AA62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Initially white later turned yellow</w:t>
            </w:r>
          </w:p>
        </w:tc>
        <w:tc>
          <w:tcPr>
            <w:tcW w:w="976" w:type="dxa"/>
            <w:vAlign w:val="center"/>
          </w:tcPr>
          <w:p w14:paraId="46693A9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4DF93CD2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Present</w:t>
            </w:r>
          </w:p>
        </w:tc>
        <w:tc>
          <w:tcPr>
            <w:tcW w:w="4560" w:type="dxa"/>
            <w:vAlign w:val="center"/>
          </w:tcPr>
          <w:p w14:paraId="64E81300" w14:textId="3A616514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proofErr w:type="spellStart"/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Creamish</w:t>
            </w:r>
            <w:proofErr w:type="spellEnd"/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 xml:space="preserve"> white growth producing aerial mycelium having sporulation at periphery at maturity of the growth.</w:t>
            </w:r>
          </w:p>
        </w:tc>
      </w:tr>
      <w:tr w:rsidR="00B044AE" w:rsidRPr="00B044AE" w14:paraId="5A0058DE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1825BD6C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2.</w:t>
            </w:r>
          </w:p>
        </w:tc>
        <w:tc>
          <w:tcPr>
            <w:tcW w:w="1095" w:type="dxa"/>
            <w:vAlign w:val="center"/>
          </w:tcPr>
          <w:p w14:paraId="7AE0912D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Carrot Agar</w:t>
            </w:r>
          </w:p>
        </w:tc>
        <w:tc>
          <w:tcPr>
            <w:tcW w:w="976" w:type="dxa"/>
            <w:vAlign w:val="center"/>
          </w:tcPr>
          <w:p w14:paraId="142E6D5A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White</w:t>
            </w:r>
          </w:p>
        </w:tc>
        <w:tc>
          <w:tcPr>
            <w:tcW w:w="976" w:type="dxa"/>
            <w:vAlign w:val="center"/>
          </w:tcPr>
          <w:p w14:paraId="5425CEDD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497DE4D4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Present</w:t>
            </w:r>
          </w:p>
        </w:tc>
        <w:tc>
          <w:tcPr>
            <w:tcW w:w="4560" w:type="dxa"/>
            <w:vAlign w:val="center"/>
          </w:tcPr>
          <w:p w14:paraId="7DC06C1C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At the point of inoculation puffy growth of mycelium and sporulation was seen at colony edges at maturity of growth.</w:t>
            </w:r>
          </w:p>
        </w:tc>
      </w:tr>
      <w:tr w:rsidR="00B044AE" w:rsidRPr="00B044AE" w14:paraId="4775FE5A" w14:textId="77777777" w:rsidTr="00B044AE">
        <w:trPr>
          <w:trHeight w:val="830"/>
        </w:trPr>
        <w:tc>
          <w:tcPr>
            <w:tcW w:w="570" w:type="dxa"/>
            <w:vAlign w:val="center"/>
          </w:tcPr>
          <w:p w14:paraId="5A5E2FA9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3.</w:t>
            </w:r>
          </w:p>
        </w:tc>
        <w:tc>
          <w:tcPr>
            <w:tcW w:w="1095" w:type="dxa"/>
            <w:vAlign w:val="center"/>
          </w:tcPr>
          <w:p w14:paraId="6A575FA0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Oat Meal Agar</w:t>
            </w:r>
          </w:p>
        </w:tc>
        <w:tc>
          <w:tcPr>
            <w:tcW w:w="976" w:type="dxa"/>
            <w:vAlign w:val="center"/>
          </w:tcPr>
          <w:p w14:paraId="34FC7948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White</w:t>
            </w:r>
          </w:p>
        </w:tc>
        <w:tc>
          <w:tcPr>
            <w:tcW w:w="976" w:type="dxa"/>
            <w:vAlign w:val="center"/>
          </w:tcPr>
          <w:p w14:paraId="54C5982C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3B6BA1BB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Absent</w:t>
            </w:r>
          </w:p>
        </w:tc>
        <w:tc>
          <w:tcPr>
            <w:tcW w:w="4560" w:type="dxa"/>
            <w:vAlign w:val="center"/>
          </w:tcPr>
          <w:p w14:paraId="2B28634B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Initially whitish dense mycelial growth at the point of inoculation and thinner growth towards periphery. Later turned dirty white and no sporulation was observed.</w:t>
            </w:r>
          </w:p>
        </w:tc>
      </w:tr>
      <w:tr w:rsidR="00B044AE" w:rsidRPr="00B044AE" w14:paraId="231C4570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14AB8ED3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4.</w:t>
            </w:r>
          </w:p>
        </w:tc>
        <w:tc>
          <w:tcPr>
            <w:tcW w:w="1095" w:type="dxa"/>
            <w:vAlign w:val="center"/>
          </w:tcPr>
          <w:p w14:paraId="1492FD1C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Water Agar</w:t>
            </w:r>
          </w:p>
        </w:tc>
        <w:tc>
          <w:tcPr>
            <w:tcW w:w="976" w:type="dxa"/>
            <w:vAlign w:val="center"/>
          </w:tcPr>
          <w:p w14:paraId="6604E772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 xml:space="preserve">Initially white later turned </w:t>
            </w: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lastRenderedPageBreak/>
              <w:t>yellow</w:t>
            </w:r>
          </w:p>
        </w:tc>
        <w:tc>
          <w:tcPr>
            <w:tcW w:w="976" w:type="dxa"/>
            <w:vAlign w:val="center"/>
          </w:tcPr>
          <w:p w14:paraId="652FFD2B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lastRenderedPageBreak/>
              <w:t>Hyaline</w:t>
            </w:r>
          </w:p>
        </w:tc>
        <w:tc>
          <w:tcPr>
            <w:tcW w:w="1429" w:type="dxa"/>
            <w:vAlign w:val="center"/>
          </w:tcPr>
          <w:p w14:paraId="7D104504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Absent</w:t>
            </w:r>
          </w:p>
        </w:tc>
        <w:tc>
          <w:tcPr>
            <w:tcW w:w="4560" w:type="dxa"/>
            <w:vAlign w:val="center"/>
          </w:tcPr>
          <w:p w14:paraId="7434A7F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Initially whitish dense mycelial growth which later turned yellowish. No sporulation was observed.</w:t>
            </w:r>
          </w:p>
        </w:tc>
      </w:tr>
      <w:tr w:rsidR="00B044AE" w:rsidRPr="00B044AE" w14:paraId="78A3F46F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0EA08EAA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5.</w:t>
            </w:r>
          </w:p>
        </w:tc>
        <w:tc>
          <w:tcPr>
            <w:tcW w:w="1095" w:type="dxa"/>
            <w:vAlign w:val="center"/>
          </w:tcPr>
          <w:p w14:paraId="408DD358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V8 Juice Agar</w:t>
            </w:r>
          </w:p>
        </w:tc>
        <w:tc>
          <w:tcPr>
            <w:tcW w:w="976" w:type="dxa"/>
            <w:vAlign w:val="center"/>
          </w:tcPr>
          <w:p w14:paraId="1BF1AAAB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Initially white later turned yellow</w:t>
            </w:r>
          </w:p>
        </w:tc>
        <w:tc>
          <w:tcPr>
            <w:tcW w:w="976" w:type="dxa"/>
            <w:vAlign w:val="center"/>
          </w:tcPr>
          <w:p w14:paraId="212D117A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5904475E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Present</w:t>
            </w:r>
          </w:p>
        </w:tc>
        <w:tc>
          <w:tcPr>
            <w:tcW w:w="4560" w:type="dxa"/>
            <w:vAlign w:val="center"/>
          </w:tcPr>
          <w:p w14:paraId="1432B70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Initially whitish rosette growth was seen which became more denser at yellowish at maturity. Sporulation was seen at colony edges at maturity.</w:t>
            </w:r>
          </w:p>
        </w:tc>
      </w:tr>
      <w:tr w:rsidR="00B044AE" w:rsidRPr="00B044AE" w14:paraId="09714242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44E53A50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6.</w:t>
            </w:r>
          </w:p>
        </w:tc>
        <w:tc>
          <w:tcPr>
            <w:tcW w:w="1095" w:type="dxa"/>
            <w:vAlign w:val="center"/>
          </w:tcPr>
          <w:p w14:paraId="28FAEFCC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proofErr w:type="spellStart"/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Czapek</w:t>
            </w:r>
            <w:proofErr w:type="spellEnd"/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 xml:space="preserve"> dox agar</w:t>
            </w:r>
          </w:p>
        </w:tc>
        <w:tc>
          <w:tcPr>
            <w:tcW w:w="976" w:type="dxa"/>
            <w:vAlign w:val="center"/>
          </w:tcPr>
          <w:p w14:paraId="3DCE2BB1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White</w:t>
            </w:r>
          </w:p>
        </w:tc>
        <w:tc>
          <w:tcPr>
            <w:tcW w:w="976" w:type="dxa"/>
            <w:vAlign w:val="center"/>
          </w:tcPr>
          <w:p w14:paraId="296F0330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22DA12C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Absent</w:t>
            </w:r>
          </w:p>
        </w:tc>
        <w:tc>
          <w:tcPr>
            <w:tcW w:w="4560" w:type="dxa"/>
            <w:vAlign w:val="center"/>
          </w:tcPr>
          <w:p w14:paraId="230ECA3D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Puffy mycelial growth was observed and no sporulation is seen.</w:t>
            </w:r>
          </w:p>
        </w:tc>
      </w:tr>
      <w:tr w:rsidR="00B044AE" w:rsidRPr="00B044AE" w14:paraId="358DE2EF" w14:textId="77777777" w:rsidTr="00B044AE">
        <w:trPr>
          <w:trHeight w:val="854"/>
        </w:trPr>
        <w:tc>
          <w:tcPr>
            <w:tcW w:w="570" w:type="dxa"/>
            <w:vAlign w:val="center"/>
          </w:tcPr>
          <w:p w14:paraId="59078503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7.</w:t>
            </w:r>
          </w:p>
        </w:tc>
        <w:tc>
          <w:tcPr>
            <w:tcW w:w="1095" w:type="dxa"/>
            <w:vAlign w:val="center"/>
          </w:tcPr>
          <w:p w14:paraId="1086B649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Potato Carrot infusion Agar</w:t>
            </w:r>
          </w:p>
        </w:tc>
        <w:tc>
          <w:tcPr>
            <w:tcW w:w="976" w:type="dxa"/>
            <w:vAlign w:val="center"/>
          </w:tcPr>
          <w:p w14:paraId="1B0BBB1B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Dirty white</w:t>
            </w:r>
          </w:p>
        </w:tc>
        <w:tc>
          <w:tcPr>
            <w:tcW w:w="976" w:type="dxa"/>
            <w:vAlign w:val="center"/>
          </w:tcPr>
          <w:p w14:paraId="2C15B135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Hyaline</w:t>
            </w:r>
          </w:p>
        </w:tc>
        <w:tc>
          <w:tcPr>
            <w:tcW w:w="1429" w:type="dxa"/>
            <w:vAlign w:val="center"/>
          </w:tcPr>
          <w:p w14:paraId="573C1326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Absent</w:t>
            </w:r>
          </w:p>
        </w:tc>
        <w:tc>
          <w:tcPr>
            <w:tcW w:w="4560" w:type="dxa"/>
            <w:vAlign w:val="center"/>
          </w:tcPr>
          <w:p w14:paraId="36B76AED" w14:textId="77777777" w:rsidR="00B044AE" w:rsidRPr="00B044AE" w:rsidRDefault="00B044AE" w:rsidP="00B044AE">
            <w:pPr>
              <w:spacing w:after="200"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B044AE"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  <w:t>Whitish to dirty white thinner and irregular growth of mycelium was observed. Sporulation was absent</w:t>
            </w:r>
          </w:p>
        </w:tc>
      </w:tr>
    </w:tbl>
    <w:p w14:paraId="4F24BF82" w14:textId="77777777" w:rsidR="00236B46" w:rsidRDefault="00236B46"/>
    <w:p w14:paraId="08C4D04A" w14:textId="77777777" w:rsidR="00236B46" w:rsidRDefault="00236B46"/>
    <w:sectPr w:rsidR="00236B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800D5"/>
    <w:rsid w:val="001800D5"/>
    <w:rsid w:val="001C4276"/>
    <w:rsid w:val="00236B46"/>
    <w:rsid w:val="00291E48"/>
    <w:rsid w:val="002E68CA"/>
    <w:rsid w:val="00B044AE"/>
    <w:rsid w:val="00C6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C04FC"/>
  <w15:chartTrackingRefBased/>
  <w15:docId w15:val="{5C39C1D3-84DC-45F7-9A27-2B438DDFE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B044AE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B04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UDAYENDU BARIK</dc:creator>
  <cp:keywords/>
  <dc:description/>
  <cp:lastModifiedBy>UDAYENDU BARIK</cp:lastModifiedBy>
  <cp:revision>4</cp:revision>
  <dcterms:created xsi:type="dcterms:W3CDTF">2024-08-16T11:49:00Z</dcterms:created>
  <dcterms:modified xsi:type="dcterms:W3CDTF">2024-08-16T12:00:00Z</dcterms:modified>
</cp:coreProperties>
</file>