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9012D" w14:textId="38E908A0" w:rsidR="00015FC4" w:rsidRDefault="00EB616D" w:rsidP="00EB616D">
      <w:pPr>
        <w:pStyle w:val="a3"/>
        <w:numPr>
          <w:ilvl w:val="0"/>
          <w:numId w:val="1"/>
        </w:numPr>
        <w:ind w:firstLineChars="0"/>
      </w:pPr>
      <w:r w:rsidRPr="00EB616D">
        <w:t xml:space="preserve">an increasing number of studies have focused on the use of readily available inflammatory markers to predict the prognosis of intravenous thrombolysis in acute ischemic stroke </w:t>
      </w:r>
    </w:p>
    <w:p w14:paraId="15E1CB62" w14:textId="2A7E1D92" w:rsidR="004B3254" w:rsidRDefault="00164E26" w:rsidP="00EB616D">
      <w:pPr>
        <w:pStyle w:val="a3"/>
        <w:numPr>
          <w:ilvl w:val="0"/>
          <w:numId w:val="1"/>
        </w:numPr>
        <w:ind w:firstLineChars="0"/>
      </w:pPr>
      <w:r w:rsidRPr="00164E26">
        <w:t>Inflammation and the immune response play an important role in secondary brain injury after stroke</w:t>
      </w:r>
      <w:r>
        <w:t xml:space="preserve">. </w:t>
      </w:r>
      <w:r w:rsidR="003D0A6D" w:rsidRPr="003D0A6D">
        <w:t xml:space="preserve">Systemic </w:t>
      </w:r>
      <w:r w:rsidR="003D0A6D">
        <w:t>i</w:t>
      </w:r>
      <w:r w:rsidR="003D0A6D" w:rsidRPr="003D0A6D">
        <w:t xml:space="preserve">nflammatory </w:t>
      </w:r>
      <w:r w:rsidR="003D0A6D">
        <w:t>r</w:t>
      </w:r>
      <w:r w:rsidR="003D0A6D" w:rsidRPr="003D0A6D">
        <w:t xml:space="preserve">esponse </w:t>
      </w:r>
      <w:r w:rsidR="003D0A6D">
        <w:t>i</w:t>
      </w:r>
      <w:r w:rsidR="003D0A6D" w:rsidRPr="003D0A6D">
        <w:t xml:space="preserve">ndex </w:t>
      </w:r>
      <w:r w:rsidR="003D0A6D">
        <w:t>(</w:t>
      </w:r>
      <w:r w:rsidR="004B3254" w:rsidRPr="004B3254">
        <w:t>SIRI</w:t>
      </w:r>
      <w:r w:rsidR="003D0A6D">
        <w:t>)</w:t>
      </w:r>
      <w:r w:rsidR="004B3254" w:rsidRPr="004B3254">
        <w:t xml:space="preserve"> is a novel integrated immune-inflammatory index that relies on absolute values of peripheral blood neutrophil counts, monocyte counts, and lymphocyte counts.</w:t>
      </w:r>
    </w:p>
    <w:p w14:paraId="73B88B0E" w14:textId="55413BC7" w:rsidR="004B3254" w:rsidRDefault="003D0A6D" w:rsidP="00EB616D">
      <w:pPr>
        <w:pStyle w:val="a3"/>
        <w:numPr>
          <w:ilvl w:val="0"/>
          <w:numId w:val="1"/>
        </w:numPr>
        <w:ind w:firstLineChars="0"/>
      </w:pPr>
      <w:r w:rsidRPr="003D0A6D">
        <w:t>Glucose/</w:t>
      </w:r>
      <w:r>
        <w:t>p</w:t>
      </w:r>
      <w:r w:rsidRPr="003D0A6D">
        <w:t xml:space="preserve">otassium </w:t>
      </w:r>
      <w:r>
        <w:t>r</w:t>
      </w:r>
      <w:r w:rsidRPr="003D0A6D">
        <w:t xml:space="preserve">atio </w:t>
      </w:r>
      <w:r>
        <w:t>(</w:t>
      </w:r>
      <w:r w:rsidR="004B3254" w:rsidRPr="004B3254">
        <w:t>GPR</w:t>
      </w:r>
      <w:r>
        <w:t>)</w:t>
      </w:r>
      <w:r w:rsidR="004B3254" w:rsidRPr="004B3254">
        <w:t xml:space="preserve"> can respond to the stress state of the organism, reflecting the activity of the renin-angiotensin-aldosterone system</w:t>
      </w:r>
    </w:p>
    <w:p w14:paraId="26C2C57A" w14:textId="6F055178" w:rsidR="003D0A6D" w:rsidRDefault="003D0A6D" w:rsidP="003D0A6D">
      <w:pPr>
        <w:pStyle w:val="a3"/>
        <w:numPr>
          <w:ilvl w:val="0"/>
          <w:numId w:val="1"/>
        </w:numPr>
        <w:ind w:firstLineChars="0"/>
      </w:pPr>
      <w:r w:rsidRPr="003D0A6D">
        <w:t xml:space="preserve">We combine SIRI with GPR as a new score to predict the prognosis of </w:t>
      </w:r>
      <w:r w:rsidR="00697C2A">
        <w:t>acute ischemic stroke</w:t>
      </w:r>
      <w:r w:rsidRPr="003D0A6D">
        <w:t xml:space="preserve"> patients treated with</w:t>
      </w:r>
      <w:bookmarkStart w:id="0" w:name="_Hlk156766342"/>
      <w:r w:rsidRPr="003D0A6D">
        <w:t xml:space="preserve"> </w:t>
      </w:r>
      <w:r w:rsidR="00697C2A">
        <w:t>intravenous thrombolysis</w:t>
      </w:r>
      <w:bookmarkEnd w:id="0"/>
      <w:r w:rsidRPr="003D0A6D">
        <w:t xml:space="preserve"> for the first time, and found the SIRI-GPR score can predict the 3-month prognosis in stroke patients treated with</w:t>
      </w:r>
      <w:r w:rsidR="00697C2A" w:rsidRPr="00697C2A">
        <w:t xml:space="preserve"> intravenous thrombolysis</w:t>
      </w:r>
      <w:r w:rsidRPr="003D0A6D">
        <w:t>, in another words, a higher SIRI-GPR score predicts a worse prognosis.</w:t>
      </w:r>
    </w:p>
    <w:p w14:paraId="6D25B5EB" w14:textId="7B35965A" w:rsidR="003D0A6D" w:rsidRPr="003D0A6D" w:rsidRDefault="003D0A6D" w:rsidP="00697C2A">
      <w:pPr>
        <w:pStyle w:val="a3"/>
        <w:numPr>
          <w:ilvl w:val="0"/>
          <w:numId w:val="1"/>
        </w:numPr>
        <w:ind w:firstLineChars="0"/>
      </w:pPr>
      <w:r w:rsidRPr="003D0A6D">
        <w:t xml:space="preserve">we hypothesized whether it is possible to intervene in the prognosis of </w:t>
      </w:r>
      <w:r w:rsidR="00697C2A" w:rsidRPr="00697C2A">
        <w:t>intravenous thrombolysis</w:t>
      </w:r>
      <w:r w:rsidRPr="003D0A6D">
        <w:t xml:space="preserve"> in </w:t>
      </w:r>
      <w:r w:rsidR="00697C2A" w:rsidRPr="00697C2A">
        <w:t xml:space="preserve">acute ischemic stroke </w:t>
      </w:r>
      <w:r w:rsidRPr="003D0A6D">
        <w:t xml:space="preserve">by decreasing the SIR-GPR score and thus provide timely intervention to enable the patients with AIS to have a good functional prognosis from </w:t>
      </w:r>
      <w:r w:rsidR="00697C2A" w:rsidRPr="00697C2A">
        <w:t>intravenous thrombolysis</w:t>
      </w:r>
      <w:r w:rsidRPr="003D0A6D">
        <w:t>.</w:t>
      </w:r>
    </w:p>
    <w:p w14:paraId="4DB96E8C" w14:textId="77777777" w:rsidR="003D0A6D" w:rsidRDefault="003D0A6D" w:rsidP="003D0A6D">
      <w:pPr>
        <w:pStyle w:val="a3"/>
        <w:ind w:left="440" w:firstLineChars="0" w:firstLine="0"/>
      </w:pPr>
    </w:p>
    <w:sectPr w:rsidR="003D0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947B3" w14:textId="77777777" w:rsidR="00542368" w:rsidRDefault="00542368" w:rsidP="004B3254">
      <w:r>
        <w:separator/>
      </w:r>
    </w:p>
  </w:endnote>
  <w:endnote w:type="continuationSeparator" w:id="0">
    <w:p w14:paraId="3381FD4B" w14:textId="77777777" w:rsidR="00542368" w:rsidRDefault="00542368" w:rsidP="004B3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E27EC" w14:textId="77777777" w:rsidR="00542368" w:rsidRDefault="00542368" w:rsidP="004B3254">
      <w:r>
        <w:separator/>
      </w:r>
    </w:p>
  </w:footnote>
  <w:footnote w:type="continuationSeparator" w:id="0">
    <w:p w14:paraId="37239749" w14:textId="77777777" w:rsidR="00542368" w:rsidRDefault="00542368" w:rsidP="004B32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3158D"/>
    <w:multiLevelType w:val="hybridMultilevel"/>
    <w:tmpl w:val="DD5E0ED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36306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16D"/>
    <w:rsid w:val="00015FC4"/>
    <w:rsid w:val="00164E26"/>
    <w:rsid w:val="003D0A6D"/>
    <w:rsid w:val="00436644"/>
    <w:rsid w:val="004B3254"/>
    <w:rsid w:val="00542368"/>
    <w:rsid w:val="00697C2A"/>
    <w:rsid w:val="00EB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A04C51"/>
  <w15:chartTrackingRefBased/>
  <w15:docId w15:val="{DEC6CDB0-A1EF-4B0A-BCA0-AA0F7F850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16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B32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325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3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32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Morale Wen</dc:creator>
  <cp:keywords/>
  <dc:description/>
  <cp:lastModifiedBy>Morale Wen</cp:lastModifiedBy>
  <cp:revision>3</cp:revision>
  <dcterms:created xsi:type="dcterms:W3CDTF">2024-01-21T12:29:00Z</dcterms:created>
  <dcterms:modified xsi:type="dcterms:W3CDTF">2024-01-29T08:10:00Z</dcterms:modified>
</cp:coreProperties>
</file>