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FB7F51" w14:textId="77777777" w:rsidR="001704A3" w:rsidRDefault="00000000">
      <w:pPr>
        <w:pStyle w:val="SupplementaryMaterial"/>
      </w:pPr>
      <w:r>
        <w:t>Supplementary Material</w:t>
      </w:r>
    </w:p>
    <w:p w14:paraId="65503CBC" w14:textId="77777777" w:rsidR="001704A3" w:rsidRDefault="00000000">
      <w:pPr>
        <w:pStyle w:val="2"/>
      </w:pPr>
      <w:r>
        <w:t>Supplementary Figures</w:t>
      </w:r>
    </w:p>
    <w:p w14:paraId="5236F13B" w14:textId="77777777" w:rsidR="001704A3" w:rsidRDefault="00000000">
      <w:pPr>
        <w:jc w:val="center"/>
      </w:pPr>
      <w:r>
        <w:rPr>
          <w:noProof/>
        </w:rPr>
        <w:drawing>
          <wp:inline distT="0" distB="0" distL="0" distR="0" wp14:anchorId="451CAD0A" wp14:editId="78273611">
            <wp:extent cx="5086350" cy="6969125"/>
            <wp:effectExtent l="0" t="0" r="0" b="3175"/>
            <wp:docPr id="3303187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31872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092355" cy="6977646"/>
                    </a:xfrm>
                    <a:prstGeom prst="rect">
                      <a:avLst/>
                    </a:prstGeom>
                    <a:noFill/>
                    <a:ln>
                      <a:noFill/>
                    </a:ln>
                  </pic:spPr>
                </pic:pic>
              </a:graphicData>
            </a:graphic>
          </wp:inline>
        </w:drawing>
      </w:r>
    </w:p>
    <w:p w14:paraId="20D144B8" w14:textId="77777777" w:rsidR="001704A3" w:rsidRDefault="00000000">
      <w:r>
        <w:rPr>
          <w:b/>
        </w:rPr>
        <w:t xml:space="preserve">Supplementary Figure </w:t>
      </w:r>
      <w:r>
        <w:rPr>
          <w:b/>
        </w:rPr>
        <w:fldChar w:fldCharType="begin"/>
      </w:r>
      <w:r>
        <w:rPr>
          <w:b/>
        </w:rPr>
        <w:instrText xml:space="preserve"> SEQ Figure \* ARABIC </w:instrText>
      </w:r>
      <w:r>
        <w:rPr>
          <w:b/>
        </w:rPr>
        <w:fldChar w:fldCharType="separate"/>
      </w:r>
      <w:r>
        <w:rPr>
          <w:b/>
        </w:rPr>
        <w:t>1</w:t>
      </w:r>
      <w:r>
        <w:rPr>
          <w:b/>
        </w:rPr>
        <w:fldChar w:fldCharType="end"/>
      </w:r>
      <w:r>
        <w:rPr>
          <w:b/>
        </w:rPr>
        <w:t>.</w:t>
      </w:r>
      <w:r>
        <w:t xml:space="preserve"> The screening process of molecular subgroups. </w:t>
      </w:r>
    </w:p>
    <w:p w14:paraId="174609FB" w14:textId="77777777" w:rsidR="001704A3" w:rsidRDefault="00000000">
      <w:r>
        <w:rPr>
          <w:noProof/>
        </w:rPr>
        <w:lastRenderedPageBreak/>
        <w:drawing>
          <wp:inline distT="0" distB="0" distL="0" distR="0" wp14:anchorId="1352176D" wp14:editId="4F595DC7">
            <wp:extent cx="6077585" cy="2865755"/>
            <wp:effectExtent l="0" t="0" r="0" b="0"/>
            <wp:docPr id="15754481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448190"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085042" cy="2869454"/>
                    </a:xfrm>
                    <a:prstGeom prst="rect">
                      <a:avLst/>
                    </a:prstGeom>
                    <a:noFill/>
                    <a:ln>
                      <a:noFill/>
                    </a:ln>
                  </pic:spPr>
                </pic:pic>
              </a:graphicData>
            </a:graphic>
          </wp:inline>
        </w:drawing>
      </w:r>
    </w:p>
    <w:p w14:paraId="74F9B26E" w14:textId="77777777" w:rsidR="001704A3" w:rsidRDefault="00000000">
      <w:r>
        <w:rPr>
          <w:b/>
        </w:rPr>
        <w:t>Supplementary Figure 2.</w:t>
      </w:r>
      <w:r>
        <w:t xml:space="preserve"> The association between risk and clinicopathological parameters. </w:t>
      </w:r>
      <w:r>
        <w:rPr>
          <w:rFonts w:hint="eastAsia"/>
        </w:rPr>
        <w:t xml:space="preserve">K-M analysis for high and low-risk group of HCC patients with age </w:t>
      </w:r>
      <w:r>
        <w:rPr>
          <w:rFonts w:hint="eastAsia"/>
        </w:rPr>
        <w:t>≥</w:t>
      </w:r>
      <w:r>
        <w:rPr>
          <w:rFonts w:hint="eastAsia"/>
        </w:rPr>
        <w:t xml:space="preserve">65 years (A), age &lt;65 years (B), G1-G2 (C), G3-G4 (D), female (E), male (F), stage </w:t>
      </w:r>
      <w:r>
        <w:rPr>
          <w:rFonts w:hint="eastAsia"/>
        </w:rPr>
        <w:t>Ⅰ</w:t>
      </w:r>
      <w:r>
        <w:rPr>
          <w:rFonts w:hint="eastAsia"/>
        </w:rPr>
        <w:t>-</w:t>
      </w:r>
      <w:r>
        <w:rPr>
          <w:rFonts w:hint="eastAsia"/>
        </w:rPr>
        <w:t>Ⅱ</w:t>
      </w:r>
      <w:r>
        <w:rPr>
          <w:rFonts w:hint="eastAsia"/>
        </w:rPr>
        <w:t xml:space="preserve"> (G), and stage </w:t>
      </w:r>
      <w:r>
        <w:rPr>
          <w:rFonts w:hint="eastAsia"/>
        </w:rPr>
        <w:t>Ⅲ</w:t>
      </w:r>
      <w:r>
        <w:rPr>
          <w:rFonts w:hint="eastAsia"/>
        </w:rPr>
        <w:t>-</w:t>
      </w:r>
      <w:r>
        <w:rPr>
          <w:rFonts w:hint="eastAsia"/>
        </w:rPr>
        <w:t>Ⅳ</w:t>
      </w:r>
      <w:r>
        <w:rPr>
          <w:rFonts w:hint="eastAsia"/>
        </w:rPr>
        <w:t xml:space="preserve"> (H)</w:t>
      </w:r>
      <w:r>
        <w:t>.</w:t>
      </w:r>
    </w:p>
    <w:p w14:paraId="2A3F1468" w14:textId="77777777" w:rsidR="001704A3" w:rsidRDefault="001704A3">
      <w:pPr>
        <w:rPr>
          <w:lang w:eastAsia="zh-CN"/>
        </w:rPr>
      </w:pPr>
    </w:p>
    <w:p w14:paraId="50FEA9BB" w14:textId="77777777" w:rsidR="001704A3" w:rsidRDefault="00000000">
      <w:pPr>
        <w:rPr>
          <w:lang w:eastAsia="zh-CN"/>
        </w:rPr>
      </w:pPr>
      <w:r>
        <w:rPr>
          <w:noProof/>
        </w:rPr>
        <w:drawing>
          <wp:inline distT="0" distB="0" distL="0" distR="0" wp14:anchorId="326F8970" wp14:editId="7BF867F9">
            <wp:extent cx="6208395" cy="4201160"/>
            <wp:effectExtent l="0" t="0" r="1905" b="8890"/>
            <wp:docPr id="4221043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104352"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208395" cy="4201160"/>
                    </a:xfrm>
                    <a:prstGeom prst="rect">
                      <a:avLst/>
                    </a:prstGeom>
                    <a:noFill/>
                    <a:ln>
                      <a:noFill/>
                    </a:ln>
                  </pic:spPr>
                </pic:pic>
              </a:graphicData>
            </a:graphic>
          </wp:inline>
        </w:drawing>
      </w:r>
    </w:p>
    <w:p w14:paraId="54C23D81" w14:textId="77777777" w:rsidR="001704A3" w:rsidRDefault="00000000">
      <w:pPr>
        <w:rPr>
          <w:lang w:eastAsia="zh-CN"/>
        </w:rPr>
      </w:pPr>
      <w:r>
        <w:rPr>
          <w:rFonts w:hint="eastAsia"/>
          <w:b/>
          <w:bCs/>
          <w:lang w:eastAsia="zh-CN"/>
        </w:rPr>
        <w:lastRenderedPageBreak/>
        <w:t>Supplementary Figure 3.</w:t>
      </w:r>
      <w:r>
        <w:rPr>
          <w:rFonts w:hint="eastAsia"/>
          <w:lang w:eastAsia="zh-CN"/>
        </w:rPr>
        <w:t xml:space="preserve"> </w:t>
      </w:r>
      <w:r>
        <w:rPr>
          <w:lang w:eastAsia="zh-CN"/>
        </w:rPr>
        <w:t>Validation the prognostic model. (A) The K-M analysis of the overall survival in ICGC cohort. (B) PCA and t-SNE analysis (C) of the high-risk and low-risk groups in the ICGC cohort. (D) Distribution of the risk scores (D), survival status (E), and expression (F) of the seven risk genes in the ICGA cohort</w:t>
      </w:r>
      <w:r>
        <w:rPr>
          <w:rFonts w:hint="eastAsia"/>
          <w:lang w:eastAsia="zh-CN"/>
        </w:rPr>
        <w:t>.</w:t>
      </w:r>
    </w:p>
    <w:p w14:paraId="3ABE5E26" w14:textId="77777777" w:rsidR="001704A3" w:rsidRDefault="001704A3">
      <w:pPr>
        <w:rPr>
          <w:lang w:eastAsia="zh-CN"/>
        </w:rPr>
      </w:pPr>
    </w:p>
    <w:p w14:paraId="342E9AF1" w14:textId="77777777" w:rsidR="001704A3" w:rsidRDefault="00000000">
      <w:pPr>
        <w:rPr>
          <w:lang w:eastAsia="zh-CN"/>
        </w:rPr>
      </w:pPr>
      <w:r>
        <w:rPr>
          <w:noProof/>
        </w:rPr>
        <w:drawing>
          <wp:inline distT="0" distB="0" distL="0" distR="0" wp14:anchorId="03B9B6F1" wp14:editId="06ABFC38">
            <wp:extent cx="6208395" cy="3834130"/>
            <wp:effectExtent l="0" t="0" r="1905" b="0"/>
            <wp:docPr id="2283764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76405"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b="2561"/>
                    <a:stretch>
                      <a:fillRect/>
                    </a:stretch>
                  </pic:blipFill>
                  <pic:spPr>
                    <a:xfrm>
                      <a:off x="0" y="0"/>
                      <a:ext cx="6208395" cy="3834333"/>
                    </a:xfrm>
                    <a:prstGeom prst="rect">
                      <a:avLst/>
                    </a:prstGeom>
                    <a:noFill/>
                    <a:ln>
                      <a:noFill/>
                    </a:ln>
                  </pic:spPr>
                </pic:pic>
              </a:graphicData>
            </a:graphic>
          </wp:inline>
        </w:drawing>
      </w:r>
    </w:p>
    <w:p w14:paraId="7AFADFCC" w14:textId="77777777" w:rsidR="001704A3" w:rsidRDefault="00000000">
      <w:pPr>
        <w:rPr>
          <w:lang w:eastAsia="zh-CN"/>
        </w:rPr>
      </w:pPr>
      <w:r>
        <w:rPr>
          <w:rFonts w:hint="eastAsia"/>
          <w:b/>
          <w:bCs/>
          <w:lang w:eastAsia="zh-CN"/>
        </w:rPr>
        <w:t>Supplementary Figure 4.</w:t>
      </w:r>
      <w:r>
        <w:rPr>
          <w:rFonts w:hint="eastAsia"/>
          <w:lang w:eastAsia="zh-CN"/>
        </w:rPr>
        <w:t xml:space="preserve"> </w:t>
      </w:r>
      <w:r>
        <w:rPr>
          <w:lang w:eastAsia="zh-CN"/>
        </w:rPr>
        <w:t>Univariate and multivariate Cox regression analysis. (A) Univariate and (B) multivariate Cox analyses of the risk score and clinical variables in the TCGA cohort. (C) Univariate and (D) multivariate Cox analyses of the risk score and clinical variables in the ICGC cohort.</w:t>
      </w:r>
    </w:p>
    <w:p w14:paraId="33C0873D" w14:textId="77777777" w:rsidR="001704A3" w:rsidRDefault="00000000">
      <w:pPr>
        <w:pStyle w:val="2"/>
      </w:pPr>
      <w:r>
        <w:t>Supplementary Tables</w:t>
      </w:r>
    </w:p>
    <w:p w14:paraId="7C110F71" w14:textId="77777777" w:rsidR="001704A3" w:rsidRDefault="00000000">
      <w:r>
        <w:rPr>
          <w:b/>
          <w:bCs/>
        </w:rPr>
        <w:t>Supplementary table 1.</w:t>
      </w:r>
      <w:r>
        <w:t xml:space="preserve"> Characteristics of HCC patients in TCGA and ICGC cohort.</w:t>
      </w:r>
    </w:p>
    <w:tbl>
      <w:tblPr>
        <w:tblStyle w:val="31"/>
        <w:tblW w:w="0" w:type="auto"/>
        <w:jc w:val="center"/>
        <w:tblLook w:val="04A0" w:firstRow="1" w:lastRow="0" w:firstColumn="1" w:lastColumn="0" w:noHBand="0" w:noVBand="1"/>
      </w:tblPr>
      <w:tblGrid>
        <w:gridCol w:w="1659"/>
        <w:gridCol w:w="1659"/>
        <w:gridCol w:w="1659"/>
        <w:gridCol w:w="2106"/>
      </w:tblGrid>
      <w:tr w:rsidR="001704A3" w14:paraId="00088A2F" w14:textId="77777777">
        <w:trPr>
          <w:trHeight w:val="634"/>
          <w:jc w:val="center"/>
        </w:trPr>
        <w:tc>
          <w:tcPr>
            <w:tcW w:w="3318" w:type="dxa"/>
            <w:gridSpan w:val="2"/>
            <w:vAlign w:val="center"/>
          </w:tcPr>
          <w:p w14:paraId="358A628E" w14:textId="77777777" w:rsidR="001704A3" w:rsidRDefault="00000000">
            <w:pPr>
              <w:widowControl w:val="0"/>
              <w:spacing w:before="0" w:after="0"/>
              <w:jc w:val="center"/>
              <w:rPr>
                <w:rFonts w:eastAsia="等线" w:cs="Times New Roman"/>
                <w:sz w:val="21"/>
                <w:lang w:eastAsia="zh-CN"/>
              </w:rPr>
            </w:pPr>
            <w:r>
              <w:rPr>
                <w:rFonts w:eastAsia="等线" w:cs="Times New Roman"/>
                <w:sz w:val="21"/>
                <w:lang w:eastAsia="zh-CN"/>
              </w:rPr>
              <w:t>C</w:t>
            </w:r>
            <w:r>
              <w:rPr>
                <w:rFonts w:eastAsia="等线" w:cs="Times New Roman" w:hint="eastAsia"/>
                <w:sz w:val="21"/>
                <w:lang w:eastAsia="zh-CN"/>
              </w:rPr>
              <w:t>ha</w:t>
            </w:r>
            <w:r>
              <w:rPr>
                <w:rFonts w:eastAsia="等线" w:cs="Times New Roman"/>
                <w:sz w:val="21"/>
                <w:lang w:eastAsia="zh-CN"/>
              </w:rPr>
              <w:t>racteristics</w:t>
            </w:r>
          </w:p>
        </w:tc>
        <w:tc>
          <w:tcPr>
            <w:tcW w:w="1659" w:type="dxa"/>
            <w:vAlign w:val="center"/>
          </w:tcPr>
          <w:p w14:paraId="18F3A8D8" w14:textId="77777777" w:rsidR="001704A3" w:rsidRDefault="00000000">
            <w:pPr>
              <w:widowControl w:val="0"/>
              <w:spacing w:before="0" w:after="0"/>
              <w:jc w:val="center"/>
              <w:rPr>
                <w:rFonts w:eastAsia="等线" w:cs="Times New Roman"/>
                <w:sz w:val="21"/>
                <w:lang w:eastAsia="zh-CN"/>
              </w:rPr>
            </w:pPr>
            <w:r>
              <w:rPr>
                <w:rFonts w:eastAsia="等线" w:cs="Times New Roman"/>
                <w:sz w:val="21"/>
                <w:lang w:eastAsia="zh-CN"/>
              </w:rPr>
              <w:t>Training cohort</w:t>
            </w:r>
          </w:p>
          <w:p w14:paraId="56A13657"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T</w:t>
            </w:r>
            <w:r>
              <w:rPr>
                <w:rFonts w:eastAsia="等线" w:cs="Times New Roman"/>
                <w:sz w:val="21"/>
                <w:lang w:eastAsia="zh-CN"/>
              </w:rPr>
              <w:t>CGA (370)</w:t>
            </w:r>
          </w:p>
        </w:tc>
        <w:tc>
          <w:tcPr>
            <w:tcW w:w="2106" w:type="dxa"/>
            <w:vAlign w:val="center"/>
          </w:tcPr>
          <w:p w14:paraId="01AE9993" w14:textId="77777777" w:rsidR="001704A3" w:rsidRDefault="00000000">
            <w:pPr>
              <w:widowControl w:val="0"/>
              <w:spacing w:before="0" w:after="0"/>
              <w:jc w:val="center"/>
              <w:rPr>
                <w:rFonts w:eastAsia="等线" w:cs="Times New Roman"/>
                <w:sz w:val="21"/>
                <w:lang w:eastAsia="zh-CN"/>
              </w:rPr>
            </w:pPr>
            <w:r>
              <w:rPr>
                <w:rFonts w:eastAsia="等线" w:cs="Times New Roman"/>
                <w:sz w:val="21"/>
                <w:lang w:eastAsia="zh-CN"/>
              </w:rPr>
              <w:t>Validation cohort</w:t>
            </w:r>
          </w:p>
          <w:p w14:paraId="22465A72"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I</w:t>
            </w:r>
            <w:r>
              <w:rPr>
                <w:rFonts w:eastAsia="等线" w:cs="Times New Roman"/>
                <w:sz w:val="21"/>
                <w:lang w:eastAsia="zh-CN"/>
              </w:rPr>
              <w:t>CGC</w:t>
            </w:r>
            <w:r>
              <w:rPr>
                <w:rFonts w:ascii="等线" w:eastAsia="等线" w:hAnsi="等线" w:cs="Times New Roman"/>
                <w:sz w:val="21"/>
                <w:lang w:eastAsia="zh-CN"/>
              </w:rPr>
              <w:t xml:space="preserve"> (</w:t>
            </w:r>
            <w:r>
              <w:rPr>
                <w:rFonts w:eastAsia="等线" w:cs="Times New Roman"/>
                <w:sz w:val="21"/>
                <w:lang w:eastAsia="zh-CN"/>
              </w:rPr>
              <w:t>231)</w:t>
            </w:r>
          </w:p>
        </w:tc>
      </w:tr>
      <w:tr w:rsidR="001704A3" w14:paraId="14DC0962" w14:textId="77777777">
        <w:trPr>
          <w:jc w:val="center"/>
        </w:trPr>
        <w:tc>
          <w:tcPr>
            <w:tcW w:w="1659" w:type="dxa"/>
            <w:vMerge w:val="restart"/>
            <w:vAlign w:val="center"/>
          </w:tcPr>
          <w:p w14:paraId="62A9CB1E"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a</w:t>
            </w:r>
            <w:r>
              <w:rPr>
                <w:rFonts w:eastAsia="等线" w:cs="Times New Roman"/>
                <w:sz w:val="21"/>
                <w:lang w:eastAsia="zh-CN"/>
              </w:rPr>
              <w:t>ge</w:t>
            </w:r>
          </w:p>
        </w:tc>
        <w:tc>
          <w:tcPr>
            <w:tcW w:w="1659" w:type="dxa"/>
            <w:vAlign w:val="center"/>
          </w:tcPr>
          <w:p w14:paraId="26E237E3"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&lt;</w:t>
            </w:r>
            <w:r>
              <w:rPr>
                <w:rFonts w:eastAsia="等线" w:cs="Times New Roman"/>
                <w:sz w:val="21"/>
                <w:lang w:eastAsia="zh-CN"/>
              </w:rPr>
              <w:t>=65</w:t>
            </w:r>
          </w:p>
        </w:tc>
        <w:tc>
          <w:tcPr>
            <w:tcW w:w="1659" w:type="dxa"/>
            <w:vAlign w:val="center"/>
          </w:tcPr>
          <w:p w14:paraId="4F86B57D"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2</w:t>
            </w:r>
            <w:r>
              <w:rPr>
                <w:rFonts w:eastAsia="等线" w:cs="Times New Roman"/>
                <w:sz w:val="21"/>
                <w:lang w:eastAsia="zh-CN"/>
              </w:rPr>
              <w:t>32</w:t>
            </w:r>
          </w:p>
        </w:tc>
        <w:tc>
          <w:tcPr>
            <w:tcW w:w="2106" w:type="dxa"/>
            <w:vAlign w:val="center"/>
          </w:tcPr>
          <w:p w14:paraId="7DED54D2"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9</w:t>
            </w:r>
            <w:r>
              <w:rPr>
                <w:rFonts w:eastAsia="等线" w:cs="Times New Roman"/>
                <w:sz w:val="21"/>
                <w:lang w:eastAsia="zh-CN"/>
              </w:rPr>
              <w:t>0</w:t>
            </w:r>
          </w:p>
        </w:tc>
      </w:tr>
      <w:tr w:rsidR="001704A3" w14:paraId="016B08EF" w14:textId="77777777">
        <w:trPr>
          <w:jc w:val="center"/>
        </w:trPr>
        <w:tc>
          <w:tcPr>
            <w:tcW w:w="1659" w:type="dxa"/>
            <w:vMerge/>
          </w:tcPr>
          <w:p w14:paraId="5860A946"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0F4AD6DF"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&gt;</w:t>
            </w:r>
            <w:r>
              <w:rPr>
                <w:rFonts w:eastAsia="等线" w:cs="Times New Roman"/>
                <w:sz w:val="21"/>
                <w:lang w:eastAsia="zh-CN"/>
              </w:rPr>
              <w:t>65</w:t>
            </w:r>
          </w:p>
        </w:tc>
        <w:tc>
          <w:tcPr>
            <w:tcW w:w="1659" w:type="dxa"/>
            <w:vAlign w:val="center"/>
          </w:tcPr>
          <w:p w14:paraId="4521E6D4"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38</w:t>
            </w:r>
          </w:p>
        </w:tc>
        <w:tc>
          <w:tcPr>
            <w:tcW w:w="2106" w:type="dxa"/>
            <w:vAlign w:val="center"/>
          </w:tcPr>
          <w:p w14:paraId="40A1273C"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41</w:t>
            </w:r>
          </w:p>
        </w:tc>
      </w:tr>
      <w:tr w:rsidR="001704A3" w14:paraId="4E7C83E7" w14:textId="77777777">
        <w:trPr>
          <w:jc w:val="center"/>
        </w:trPr>
        <w:tc>
          <w:tcPr>
            <w:tcW w:w="1659" w:type="dxa"/>
            <w:vMerge w:val="restart"/>
            <w:vAlign w:val="center"/>
          </w:tcPr>
          <w:p w14:paraId="02426E07"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g</w:t>
            </w:r>
            <w:r>
              <w:rPr>
                <w:rFonts w:eastAsia="等线" w:cs="Times New Roman"/>
                <w:sz w:val="21"/>
                <w:lang w:eastAsia="zh-CN"/>
              </w:rPr>
              <w:t>ender</w:t>
            </w:r>
          </w:p>
        </w:tc>
        <w:tc>
          <w:tcPr>
            <w:tcW w:w="1659" w:type="dxa"/>
            <w:vAlign w:val="center"/>
          </w:tcPr>
          <w:p w14:paraId="4983B4AC"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f</w:t>
            </w:r>
            <w:r>
              <w:rPr>
                <w:rFonts w:eastAsia="等线" w:cs="Times New Roman"/>
                <w:sz w:val="21"/>
                <w:lang w:eastAsia="zh-CN"/>
              </w:rPr>
              <w:t>emale</w:t>
            </w:r>
          </w:p>
        </w:tc>
        <w:tc>
          <w:tcPr>
            <w:tcW w:w="1659" w:type="dxa"/>
            <w:vAlign w:val="center"/>
          </w:tcPr>
          <w:p w14:paraId="5CB6FD50"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21</w:t>
            </w:r>
          </w:p>
        </w:tc>
        <w:tc>
          <w:tcPr>
            <w:tcW w:w="2106" w:type="dxa"/>
            <w:vAlign w:val="center"/>
          </w:tcPr>
          <w:p w14:paraId="7320DAF3"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6</w:t>
            </w:r>
            <w:r>
              <w:rPr>
                <w:rFonts w:eastAsia="等线" w:cs="Times New Roman"/>
                <w:sz w:val="21"/>
                <w:lang w:eastAsia="zh-CN"/>
              </w:rPr>
              <w:t>1</w:t>
            </w:r>
          </w:p>
        </w:tc>
      </w:tr>
      <w:tr w:rsidR="001704A3" w14:paraId="63D844EE" w14:textId="77777777">
        <w:trPr>
          <w:jc w:val="center"/>
        </w:trPr>
        <w:tc>
          <w:tcPr>
            <w:tcW w:w="1659" w:type="dxa"/>
            <w:vMerge/>
            <w:vAlign w:val="center"/>
          </w:tcPr>
          <w:p w14:paraId="19DD16DA"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51C26C2E"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m</w:t>
            </w:r>
            <w:r>
              <w:rPr>
                <w:rFonts w:eastAsia="等线" w:cs="Times New Roman"/>
                <w:sz w:val="21"/>
                <w:lang w:eastAsia="zh-CN"/>
              </w:rPr>
              <w:t>ale</w:t>
            </w:r>
          </w:p>
        </w:tc>
        <w:tc>
          <w:tcPr>
            <w:tcW w:w="1659" w:type="dxa"/>
            <w:vAlign w:val="center"/>
          </w:tcPr>
          <w:p w14:paraId="2ABD0963"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2</w:t>
            </w:r>
            <w:r>
              <w:rPr>
                <w:rFonts w:eastAsia="等线" w:cs="Times New Roman"/>
                <w:sz w:val="21"/>
                <w:lang w:eastAsia="zh-CN"/>
              </w:rPr>
              <w:t>49</w:t>
            </w:r>
          </w:p>
        </w:tc>
        <w:tc>
          <w:tcPr>
            <w:tcW w:w="2106" w:type="dxa"/>
            <w:vAlign w:val="center"/>
          </w:tcPr>
          <w:p w14:paraId="311DEB4A"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70</w:t>
            </w:r>
          </w:p>
        </w:tc>
      </w:tr>
      <w:tr w:rsidR="001704A3" w14:paraId="04AB4683" w14:textId="77777777">
        <w:trPr>
          <w:jc w:val="center"/>
        </w:trPr>
        <w:tc>
          <w:tcPr>
            <w:tcW w:w="1659" w:type="dxa"/>
            <w:vMerge w:val="restart"/>
            <w:vAlign w:val="center"/>
          </w:tcPr>
          <w:p w14:paraId="7AD95080"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W</w:t>
            </w:r>
            <w:r>
              <w:rPr>
                <w:rFonts w:eastAsia="等线" w:cs="Times New Roman"/>
                <w:sz w:val="21"/>
                <w:lang w:eastAsia="zh-CN"/>
              </w:rPr>
              <w:t>HO Grade</w:t>
            </w:r>
          </w:p>
        </w:tc>
        <w:tc>
          <w:tcPr>
            <w:tcW w:w="1659" w:type="dxa"/>
            <w:vAlign w:val="center"/>
          </w:tcPr>
          <w:p w14:paraId="7DF229DE"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G</w:t>
            </w:r>
            <w:r>
              <w:rPr>
                <w:rFonts w:eastAsia="等线" w:cs="Times New Roman"/>
                <w:sz w:val="21"/>
                <w:lang w:eastAsia="zh-CN"/>
              </w:rPr>
              <w:t>1-2</w:t>
            </w:r>
          </w:p>
        </w:tc>
        <w:tc>
          <w:tcPr>
            <w:tcW w:w="1659" w:type="dxa"/>
            <w:vAlign w:val="center"/>
          </w:tcPr>
          <w:p w14:paraId="4E3D3517"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2</w:t>
            </w:r>
            <w:r>
              <w:rPr>
                <w:rFonts w:eastAsia="等线" w:cs="Times New Roman"/>
                <w:sz w:val="21"/>
                <w:lang w:eastAsia="zh-CN"/>
              </w:rPr>
              <w:t>32</w:t>
            </w:r>
          </w:p>
        </w:tc>
        <w:tc>
          <w:tcPr>
            <w:tcW w:w="2106" w:type="dxa"/>
            <w:vAlign w:val="center"/>
          </w:tcPr>
          <w:p w14:paraId="1D2A8E8C"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w:t>
            </w:r>
          </w:p>
        </w:tc>
      </w:tr>
      <w:tr w:rsidR="001704A3" w14:paraId="7222F4E8" w14:textId="77777777">
        <w:trPr>
          <w:jc w:val="center"/>
        </w:trPr>
        <w:tc>
          <w:tcPr>
            <w:tcW w:w="1659" w:type="dxa"/>
            <w:vMerge/>
            <w:vAlign w:val="center"/>
          </w:tcPr>
          <w:p w14:paraId="39BCC52A"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19E4B13B"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G</w:t>
            </w:r>
            <w:r>
              <w:rPr>
                <w:rFonts w:eastAsia="等线" w:cs="Times New Roman"/>
                <w:sz w:val="21"/>
                <w:lang w:eastAsia="zh-CN"/>
              </w:rPr>
              <w:t>3-4</w:t>
            </w:r>
          </w:p>
        </w:tc>
        <w:tc>
          <w:tcPr>
            <w:tcW w:w="1659" w:type="dxa"/>
            <w:vAlign w:val="center"/>
          </w:tcPr>
          <w:p w14:paraId="756FD728"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33</w:t>
            </w:r>
          </w:p>
        </w:tc>
        <w:tc>
          <w:tcPr>
            <w:tcW w:w="2106" w:type="dxa"/>
            <w:vAlign w:val="center"/>
          </w:tcPr>
          <w:p w14:paraId="5E9E189C"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w:t>
            </w:r>
          </w:p>
        </w:tc>
      </w:tr>
      <w:tr w:rsidR="001704A3" w14:paraId="5D39A9B1" w14:textId="77777777">
        <w:trPr>
          <w:jc w:val="center"/>
        </w:trPr>
        <w:tc>
          <w:tcPr>
            <w:tcW w:w="1659" w:type="dxa"/>
            <w:vMerge/>
            <w:vAlign w:val="center"/>
          </w:tcPr>
          <w:p w14:paraId="421A5920"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07D9E962"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u</w:t>
            </w:r>
            <w:r>
              <w:rPr>
                <w:rFonts w:eastAsia="等线" w:cs="Times New Roman"/>
                <w:sz w:val="21"/>
                <w:lang w:eastAsia="zh-CN"/>
              </w:rPr>
              <w:t>nknow</w:t>
            </w:r>
          </w:p>
        </w:tc>
        <w:tc>
          <w:tcPr>
            <w:tcW w:w="1659" w:type="dxa"/>
            <w:vAlign w:val="center"/>
          </w:tcPr>
          <w:p w14:paraId="4DDB1663"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5</w:t>
            </w:r>
          </w:p>
        </w:tc>
        <w:tc>
          <w:tcPr>
            <w:tcW w:w="2106" w:type="dxa"/>
            <w:vAlign w:val="center"/>
          </w:tcPr>
          <w:p w14:paraId="68F6C03C" w14:textId="77777777" w:rsidR="001704A3" w:rsidRDefault="001704A3">
            <w:pPr>
              <w:widowControl w:val="0"/>
              <w:spacing w:before="0" w:after="0"/>
              <w:jc w:val="center"/>
              <w:rPr>
                <w:rFonts w:eastAsia="等线" w:cs="Times New Roman"/>
                <w:sz w:val="21"/>
                <w:lang w:eastAsia="zh-CN"/>
              </w:rPr>
            </w:pPr>
          </w:p>
        </w:tc>
      </w:tr>
      <w:tr w:rsidR="001704A3" w14:paraId="1318075D" w14:textId="77777777">
        <w:trPr>
          <w:jc w:val="center"/>
        </w:trPr>
        <w:tc>
          <w:tcPr>
            <w:tcW w:w="1659" w:type="dxa"/>
            <w:vMerge w:val="restart"/>
            <w:vAlign w:val="center"/>
          </w:tcPr>
          <w:p w14:paraId="082FDAB9"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T</w:t>
            </w:r>
            <w:r>
              <w:rPr>
                <w:rFonts w:eastAsia="等线" w:cs="Times New Roman"/>
                <w:sz w:val="21"/>
                <w:lang w:eastAsia="zh-CN"/>
              </w:rPr>
              <w:t>NM Stage</w:t>
            </w:r>
          </w:p>
        </w:tc>
        <w:tc>
          <w:tcPr>
            <w:tcW w:w="1659" w:type="dxa"/>
            <w:vAlign w:val="center"/>
          </w:tcPr>
          <w:p w14:paraId="2EE6A281" w14:textId="77777777" w:rsidR="001704A3" w:rsidRDefault="00000000">
            <w:pPr>
              <w:widowControl w:val="0"/>
              <w:spacing w:before="0" w:after="0"/>
              <w:jc w:val="center"/>
              <w:rPr>
                <w:rFonts w:eastAsia="等线" w:cs="Times New Roman"/>
                <w:sz w:val="21"/>
                <w:lang w:eastAsia="zh-CN"/>
              </w:rPr>
            </w:pPr>
            <w:r>
              <w:rPr>
                <w:rFonts w:eastAsia="等线" w:cs="Times New Roman"/>
                <w:sz w:val="21"/>
                <w:lang w:eastAsia="zh-CN"/>
              </w:rPr>
              <w:t>I-II</w:t>
            </w:r>
          </w:p>
        </w:tc>
        <w:tc>
          <w:tcPr>
            <w:tcW w:w="1659" w:type="dxa"/>
            <w:vAlign w:val="center"/>
          </w:tcPr>
          <w:p w14:paraId="60F50AA6"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2</w:t>
            </w:r>
            <w:r>
              <w:rPr>
                <w:rFonts w:eastAsia="等线" w:cs="Times New Roman"/>
                <w:sz w:val="21"/>
                <w:lang w:eastAsia="zh-CN"/>
              </w:rPr>
              <w:t>56</w:t>
            </w:r>
          </w:p>
        </w:tc>
        <w:tc>
          <w:tcPr>
            <w:tcW w:w="2106" w:type="dxa"/>
            <w:vAlign w:val="center"/>
          </w:tcPr>
          <w:p w14:paraId="33A66FB3"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1</w:t>
            </w:r>
            <w:r>
              <w:rPr>
                <w:rFonts w:eastAsia="等线" w:cs="Times New Roman"/>
                <w:sz w:val="21"/>
                <w:lang w:eastAsia="zh-CN"/>
              </w:rPr>
              <w:t>41</w:t>
            </w:r>
          </w:p>
        </w:tc>
      </w:tr>
      <w:tr w:rsidR="001704A3" w14:paraId="3951002C" w14:textId="77777777">
        <w:trPr>
          <w:jc w:val="center"/>
        </w:trPr>
        <w:tc>
          <w:tcPr>
            <w:tcW w:w="1659" w:type="dxa"/>
            <w:vMerge/>
          </w:tcPr>
          <w:p w14:paraId="1BDF2C64"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5BB6B53E" w14:textId="77777777" w:rsidR="001704A3" w:rsidRDefault="00000000">
            <w:pPr>
              <w:widowControl w:val="0"/>
              <w:spacing w:before="0" w:after="0"/>
              <w:jc w:val="center"/>
              <w:rPr>
                <w:rFonts w:eastAsia="等线" w:cs="Times New Roman"/>
                <w:sz w:val="21"/>
                <w:lang w:eastAsia="zh-CN"/>
              </w:rPr>
            </w:pPr>
            <w:r>
              <w:rPr>
                <w:rFonts w:eastAsia="等线" w:cs="Times New Roman"/>
                <w:sz w:val="21"/>
                <w:lang w:eastAsia="zh-CN"/>
              </w:rPr>
              <w:t>III-IV</w:t>
            </w:r>
          </w:p>
        </w:tc>
        <w:tc>
          <w:tcPr>
            <w:tcW w:w="1659" w:type="dxa"/>
            <w:vAlign w:val="center"/>
          </w:tcPr>
          <w:p w14:paraId="0B53FF37"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9</w:t>
            </w:r>
            <w:r>
              <w:rPr>
                <w:rFonts w:eastAsia="等线" w:cs="Times New Roman"/>
                <w:sz w:val="21"/>
                <w:lang w:eastAsia="zh-CN"/>
              </w:rPr>
              <w:t>0</w:t>
            </w:r>
          </w:p>
        </w:tc>
        <w:tc>
          <w:tcPr>
            <w:tcW w:w="2106" w:type="dxa"/>
            <w:vAlign w:val="center"/>
          </w:tcPr>
          <w:p w14:paraId="3072A5D7"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9</w:t>
            </w:r>
            <w:r>
              <w:rPr>
                <w:rFonts w:eastAsia="等线" w:cs="Times New Roman"/>
                <w:sz w:val="21"/>
                <w:lang w:eastAsia="zh-CN"/>
              </w:rPr>
              <w:t>0</w:t>
            </w:r>
          </w:p>
        </w:tc>
      </w:tr>
      <w:tr w:rsidR="001704A3" w14:paraId="6739BB81" w14:textId="77777777">
        <w:trPr>
          <w:jc w:val="center"/>
        </w:trPr>
        <w:tc>
          <w:tcPr>
            <w:tcW w:w="1659" w:type="dxa"/>
            <w:vMerge/>
          </w:tcPr>
          <w:p w14:paraId="7380745E" w14:textId="77777777" w:rsidR="001704A3" w:rsidRDefault="001704A3">
            <w:pPr>
              <w:widowControl w:val="0"/>
              <w:spacing w:before="0" w:after="0"/>
              <w:jc w:val="center"/>
              <w:rPr>
                <w:rFonts w:eastAsia="等线" w:cs="Times New Roman"/>
                <w:sz w:val="21"/>
                <w:lang w:eastAsia="zh-CN"/>
              </w:rPr>
            </w:pPr>
          </w:p>
        </w:tc>
        <w:tc>
          <w:tcPr>
            <w:tcW w:w="1659" w:type="dxa"/>
            <w:vAlign w:val="center"/>
          </w:tcPr>
          <w:p w14:paraId="21FD38EE"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u</w:t>
            </w:r>
            <w:r>
              <w:rPr>
                <w:rFonts w:eastAsia="等线" w:cs="Times New Roman"/>
                <w:sz w:val="21"/>
                <w:lang w:eastAsia="zh-CN"/>
              </w:rPr>
              <w:t>nknow</w:t>
            </w:r>
          </w:p>
        </w:tc>
        <w:tc>
          <w:tcPr>
            <w:tcW w:w="1659" w:type="dxa"/>
            <w:vAlign w:val="center"/>
          </w:tcPr>
          <w:p w14:paraId="0A7DC2D4"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3</w:t>
            </w:r>
            <w:r>
              <w:rPr>
                <w:rFonts w:eastAsia="等线" w:cs="Times New Roman"/>
                <w:sz w:val="21"/>
                <w:lang w:eastAsia="zh-CN"/>
              </w:rPr>
              <w:t>4</w:t>
            </w:r>
          </w:p>
        </w:tc>
        <w:tc>
          <w:tcPr>
            <w:tcW w:w="2106" w:type="dxa"/>
            <w:vAlign w:val="center"/>
          </w:tcPr>
          <w:p w14:paraId="15A7F39E" w14:textId="77777777" w:rsidR="001704A3" w:rsidRDefault="00000000">
            <w:pPr>
              <w:widowControl w:val="0"/>
              <w:spacing w:before="0" w:after="0"/>
              <w:jc w:val="center"/>
              <w:rPr>
                <w:rFonts w:eastAsia="等线" w:cs="Times New Roman"/>
                <w:sz w:val="21"/>
                <w:lang w:eastAsia="zh-CN"/>
              </w:rPr>
            </w:pPr>
            <w:r>
              <w:rPr>
                <w:rFonts w:eastAsia="等线" w:cs="Times New Roman" w:hint="eastAsia"/>
                <w:sz w:val="21"/>
                <w:lang w:eastAsia="zh-CN"/>
              </w:rPr>
              <w:t>-</w:t>
            </w:r>
          </w:p>
        </w:tc>
      </w:tr>
    </w:tbl>
    <w:p w14:paraId="2CDB2C2A" w14:textId="77777777" w:rsidR="001704A3" w:rsidRDefault="001704A3"/>
    <w:p w14:paraId="6F3A1B1A" w14:textId="77777777" w:rsidR="001704A3" w:rsidRDefault="001704A3"/>
    <w:p w14:paraId="232E981A" w14:textId="77777777" w:rsidR="001704A3" w:rsidRDefault="001704A3"/>
    <w:p w14:paraId="4D8DE766" w14:textId="77777777" w:rsidR="001704A3" w:rsidRDefault="001704A3">
      <w:pPr>
        <w:rPr>
          <w:rFonts w:cs="Times New Roman"/>
        </w:rPr>
      </w:pPr>
    </w:p>
    <w:p w14:paraId="57F3189B" w14:textId="77777777" w:rsidR="001704A3" w:rsidRDefault="001704A3"/>
    <w:p w14:paraId="2403E95F" w14:textId="77777777" w:rsidR="001704A3" w:rsidRDefault="001704A3"/>
    <w:sectPr w:rsidR="001704A3">
      <w:headerReference w:type="even" r:id="rId13"/>
      <w:headerReference w:type="default" r:id="rId14"/>
      <w:footerReference w:type="even" r:id="rId15"/>
      <w:footerReference w:type="default" r:id="rId16"/>
      <w:headerReference w:type="first" r:id="rId1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BC1322" w14:textId="77777777" w:rsidR="003F2397" w:rsidRDefault="003F2397">
      <w:r>
        <w:separator/>
      </w:r>
    </w:p>
  </w:endnote>
  <w:endnote w:type="continuationSeparator" w:id="0">
    <w:p w14:paraId="774E5474" w14:textId="77777777" w:rsidR="003F2397" w:rsidRDefault="003F2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default"/>
    <w:sig w:usb0="E1002EFF" w:usb1="C000605B" w:usb2="00000029" w:usb3="00000000" w:csb0="200101FF" w:csb1="2028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C03654" w14:textId="77777777" w:rsidR="001704A3" w:rsidRDefault="00000000">
    <w:pPr>
      <w:rPr>
        <w:color w:val="C00000"/>
        <w:szCs w:val="24"/>
      </w:rPr>
    </w:pPr>
    <w:r>
      <w:rPr>
        <w:noProof/>
        <w:lang w:eastAsia="zh-CN"/>
      </w:rPr>
      <mc:AlternateContent>
        <mc:Choice Requires="wps">
          <w:drawing>
            <wp:anchor distT="0" distB="0" distL="114300" distR="114300" simplePos="0" relativeHeight="251660288" behindDoc="0" locked="0" layoutInCell="1" allowOverlap="1" wp14:anchorId="6E868AA9" wp14:editId="3A82790B">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67E0CB7" w14:textId="77777777" w:rsidR="001704A3"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4</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6E868AA9" id="_x0000_t202" coordsize="21600,21600" o:spt="202" path="m,l,21600r21600,l21600,xe">
              <v:stroke joinstyle="miter"/>
              <v:path gradientshapeok="t" o:connecttype="rect"/>
            </v:shapetype>
            <v:shape id="Text Box 1" o:spid="_x0000_s1026" type="#_x0000_t202" style="position:absolute;margin-left:67.6pt;margin-top:0;width:118.8pt;height:31.15pt;z-index:251660288;visibility:visible;mso-wrap-style:square;mso-wrap-distance-left:9pt;mso-wrap-distance-top:0;mso-wrap-distance-right:9pt;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" filled="f" stroked="f" strokeweight=".5pt">
              <v:textbox style="mso-fit-shape-to-text:t">
                <w:txbxContent>
                  <w:p w14:paraId="267E0CB7" w14:textId="77777777" w:rsidR="001704A3"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4</w:t>
                    </w:r>
                    <w:r>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23BEF" w14:textId="77777777" w:rsidR="001704A3" w:rsidRDefault="00000000">
    <w:pPr>
      <w:rPr>
        <w:b/>
        <w:sz w:val="20"/>
        <w:szCs w:val="24"/>
      </w:rPr>
    </w:pPr>
    <w:r>
      <w:rPr>
        <w:noProof/>
        <w:lang w:eastAsia="zh-CN"/>
      </w:rPr>
      <mc:AlternateContent>
        <mc:Choice Requires="wps">
          <w:drawing>
            <wp:anchor distT="0" distB="0" distL="114300" distR="114300" simplePos="0" relativeHeight="251659264" behindDoc="0" locked="0" layoutInCell="1" allowOverlap="1" wp14:anchorId="3A6A7A61" wp14:editId="21E5BDD9">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5B0E2CF" w14:textId="77777777" w:rsidR="001704A3"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3A6A7A61" id="_x0000_t202" coordsize="21600,21600" o:spt="202" path="m,l,21600r21600,l21600,xe">
              <v:stroke joinstyle="miter"/>
              <v:path gradientshapeok="t" o:connecttype="rect"/>
            </v:shapetype>
            <v:shape id="Text Box 56" o:spid="_x0000_s1027" type="#_x0000_t202" style="position:absolute;margin-left:67.6pt;margin-top:0;width:118.8pt;height:31.15pt;z-index:251659264;visibility:visible;mso-wrap-style:square;mso-wrap-distance-left:9pt;mso-wrap-distance-top:0;mso-wrap-distance-right:9pt;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" filled="f" stroked="f" strokeweight=".5pt">
              <v:textbox style="mso-fit-shape-to-text:t">
                <w:txbxContent>
                  <w:p w14:paraId="05B0E2CF" w14:textId="77777777" w:rsidR="001704A3"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113634" w14:textId="77777777" w:rsidR="003F2397" w:rsidRDefault="003F2397">
      <w:pPr>
        <w:spacing w:before="0" w:after="0"/>
      </w:pPr>
      <w:r>
        <w:separator/>
      </w:r>
    </w:p>
  </w:footnote>
  <w:footnote w:type="continuationSeparator" w:id="0">
    <w:p w14:paraId="3E120344" w14:textId="77777777" w:rsidR="003F2397" w:rsidRDefault="003F239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4AC20" w14:textId="77777777" w:rsidR="001704A3" w:rsidRDefault="00000000">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F02FFE" w14:textId="77777777" w:rsidR="001704A3" w:rsidRDefault="00000000">
    <w:pPr>
      <w:pStyle w:val="ae"/>
      <w:ind w:firstLineChars="3100" w:firstLine="7440"/>
      <w:rPr>
        <w:b w:val="0"/>
        <w:bCs/>
      </w:rPr>
    </w:pPr>
    <w:r>
      <w:rPr>
        <w:rFonts w:cs="Times New Roman"/>
        <w:b w:val="0"/>
        <w:bCs/>
      </w:rPr>
      <w:t>Supplementary Material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4F069" w14:textId="77777777" w:rsidR="001704A3" w:rsidRDefault="00000000">
    <w:r>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0601A"/>
    <w:multiLevelType w:val="multilevel"/>
    <w:tmpl w:val="1EC0601A"/>
    <w:lvl w:ilvl="0">
      <w:start w:val="1"/>
      <w:numFmt w:val="decimal"/>
      <w:pStyle w:val="1"/>
      <w:lvlText w:val="%1"/>
      <w:lvlJc w:val="left"/>
      <w:pPr>
        <w:tabs>
          <w:tab w:val="left" w:pos="567"/>
        </w:tabs>
        <w:ind w:left="567" w:hanging="567"/>
      </w:pPr>
      <w:rPr>
        <w:rFonts w:hint="default"/>
      </w:rPr>
    </w:lvl>
    <w:lvl w:ilvl="1">
      <w:start w:val="1"/>
      <w:numFmt w:val="decimal"/>
      <w:pStyle w:val="2"/>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abstractNum w:abstractNumId="1" w15:restartNumberingAfterBreak="0">
    <w:nsid w:val="225305B5"/>
    <w:multiLevelType w:val="multilevel"/>
    <w:tmpl w:val="225305B5"/>
    <w:lvl w:ilvl="0">
      <w:start w:val="1"/>
      <w:numFmt w:val="bullet"/>
      <w:pStyle w:val="a"/>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num w:numId="1" w16cid:durableId="1511604301">
    <w:abstractNumId w:val="0"/>
  </w:num>
  <w:num w:numId="2" w16cid:durableId="21108500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attachedTemplate r:id="rId1"/>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0B5"/>
    <w:rsid w:val="0001436A"/>
    <w:rsid w:val="00034304"/>
    <w:rsid w:val="00035434"/>
    <w:rsid w:val="00052A14"/>
    <w:rsid w:val="0006295E"/>
    <w:rsid w:val="00074BB0"/>
    <w:rsid w:val="00077D53"/>
    <w:rsid w:val="00082A55"/>
    <w:rsid w:val="000D1442"/>
    <w:rsid w:val="000F2948"/>
    <w:rsid w:val="00105FD9"/>
    <w:rsid w:val="00117666"/>
    <w:rsid w:val="001549D3"/>
    <w:rsid w:val="00160065"/>
    <w:rsid w:val="001704A3"/>
    <w:rsid w:val="00177D84"/>
    <w:rsid w:val="00267D18"/>
    <w:rsid w:val="00274347"/>
    <w:rsid w:val="002868E2"/>
    <w:rsid w:val="002869C3"/>
    <w:rsid w:val="002936E4"/>
    <w:rsid w:val="002B4A57"/>
    <w:rsid w:val="002C74CA"/>
    <w:rsid w:val="003123F4"/>
    <w:rsid w:val="00322336"/>
    <w:rsid w:val="003544FB"/>
    <w:rsid w:val="00372F91"/>
    <w:rsid w:val="00386C0B"/>
    <w:rsid w:val="003D2F2D"/>
    <w:rsid w:val="003F2397"/>
    <w:rsid w:val="00401590"/>
    <w:rsid w:val="00447801"/>
    <w:rsid w:val="00452E9C"/>
    <w:rsid w:val="004735C8"/>
    <w:rsid w:val="004947A6"/>
    <w:rsid w:val="004961FF"/>
    <w:rsid w:val="004C2185"/>
    <w:rsid w:val="004C5266"/>
    <w:rsid w:val="004D08BC"/>
    <w:rsid w:val="004F324A"/>
    <w:rsid w:val="00511B89"/>
    <w:rsid w:val="00517A89"/>
    <w:rsid w:val="005250F2"/>
    <w:rsid w:val="00564CA8"/>
    <w:rsid w:val="00593EEA"/>
    <w:rsid w:val="005A5EEE"/>
    <w:rsid w:val="005D1C69"/>
    <w:rsid w:val="005F48C0"/>
    <w:rsid w:val="006121FE"/>
    <w:rsid w:val="006375C7"/>
    <w:rsid w:val="00654E8F"/>
    <w:rsid w:val="00660D05"/>
    <w:rsid w:val="006820B1"/>
    <w:rsid w:val="006B7D14"/>
    <w:rsid w:val="006F65E0"/>
    <w:rsid w:val="00701727"/>
    <w:rsid w:val="0070566C"/>
    <w:rsid w:val="00714C50"/>
    <w:rsid w:val="00716673"/>
    <w:rsid w:val="00725A7D"/>
    <w:rsid w:val="007501BE"/>
    <w:rsid w:val="00790BB3"/>
    <w:rsid w:val="007C206C"/>
    <w:rsid w:val="00817DD6"/>
    <w:rsid w:val="0083759F"/>
    <w:rsid w:val="00885156"/>
    <w:rsid w:val="009151AA"/>
    <w:rsid w:val="0092256C"/>
    <w:rsid w:val="0093429D"/>
    <w:rsid w:val="00943573"/>
    <w:rsid w:val="0094363E"/>
    <w:rsid w:val="00964134"/>
    <w:rsid w:val="00970F7D"/>
    <w:rsid w:val="00994A3D"/>
    <w:rsid w:val="009A2D3A"/>
    <w:rsid w:val="009C2B12"/>
    <w:rsid w:val="00A0564B"/>
    <w:rsid w:val="00A05C6A"/>
    <w:rsid w:val="00A174D9"/>
    <w:rsid w:val="00A351CC"/>
    <w:rsid w:val="00AA4D24"/>
    <w:rsid w:val="00AB6715"/>
    <w:rsid w:val="00B1671E"/>
    <w:rsid w:val="00B21DE0"/>
    <w:rsid w:val="00B250DB"/>
    <w:rsid w:val="00B25EB8"/>
    <w:rsid w:val="00B358CB"/>
    <w:rsid w:val="00B37F4D"/>
    <w:rsid w:val="00C52A7B"/>
    <w:rsid w:val="00C56BAF"/>
    <w:rsid w:val="00C679AA"/>
    <w:rsid w:val="00C75972"/>
    <w:rsid w:val="00CD066B"/>
    <w:rsid w:val="00CE0885"/>
    <w:rsid w:val="00CE4FEE"/>
    <w:rsid w:val="00D060CF"/>
    <w:rsid w:val="00D6654A"/>
    <w:rsid w:val="00DB59C3"/>
    <w:rsid w:val="00DC259A"/>
    <w:rsid w:val="00DE23E8"/>
    <w:rsid w:val="00E029D8"/>
    <w:rsid w:val="00E52377"/>
    <w:rsid w:val="00E537AD"/>
    <w:rsid w:val="00E64E17"/>
    <w:rsid w:val="00E866C9"/>
    <w:rsid w:val="00EA3D3C"/>
    <w:rsid w:val="00EC0790"/>
    <w:rsid w:val="00EC090A"/>
    <w:rsid w:val="00ED20B5"/>
    <w:rsid w:val="00ED6FCE"/>
    <w:rsid w:val="00ED760D"/>
    <w:rsid w:val="00EE32E4"/>
    <w:rsid w:val="00F35178"/>
    <w:rsid w:val="00F46900"/>
    <w:rsid w:val="00F61D89"/>
    <w:rsid w:val="00F879D5"/>
    <w:rsid w:val="00FA2599"/>
    <w:rsid w:val="00FA7601"/>
    <w:rsid w:val="00FE0365"/>
    <w:rsid w:val="00FE3323"/>
    <w:rsid w:val="00FE7FDE"/>
    <w:rsid w:val="0DEE1A67"/>
    <w:rsid w:val="51B6149B"/>
    <w:rsid w:val="5DDE2390"/>
    <w:rsid w:val="681527CE"/>
    <w:rsid w:val="77334A1B"/>
    <w:rsid w:val="7DC93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F8C41"/>
  <w15:docId w15:val="{E6DF5520-5EEF-4D4D-A1E0-89C63F7A6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spacing w:before="120" w:after="240"/>
    </w:pPr>
    <w:rPr>
      <w:rFonts w:ascii="Times New Roman" w:hAnsi="Times New Roman"/>
      <w:sz w:val="24"/>
      <w:szCs w:val="22"/>
      <w:lang w:eastAsia="en-US"/>
    </w:rPr>
  </w:style>
  <w:style w:type="paragraph" w:styleId="1">
    <w:name w:val="heading 1"/>
    <w:basedOn w:val="a"/>
    <w:next w:val="a0"/>
    <w:link w:val="10"/>
    <w:uiPriority w:val="2"/>
    <w:qFormat/>
    <w:pPr>
      <w:numPr>
        <w:numId w:val="1"/>
      </w:numPr>
      <w:spacing w:before="240"/>
      <w:contextualSpacing w:val="0"/>
      <w:outlineLvl w:val="0"/>
    </w:pPr>
    <w:rPr>
      <w:b/>
    </w:rPr>
  </w:style>
  <w:style w:type="paragraph" w:styleId="2">
    <w:name w:val="heading 2"/>
    <w:basedOn w:val="1"/>
    <w:next w:val="a0"/>
    <w:link w:val="20"/>
    <w:uiPriority w:val="2"/>
    <w:qFormat/>
    <w:pPr>
      <w:numPr>
        <w:ilvl w:val="1"/>
      </w:numPr>
      <w:spacing w:after="200"/>
      <w:outlineLvl w:val="1"/>
    </w:pPr>
  </w:style>
  <w:style w:type="paragraph" w:styleId="3">
    <w:name w:val="heading 3"/>
    <w:basedOn w:val="a0"/>
    <w:next w:val="a0"/>
    <w:link w:val="30"/>
    <w:uiPriority w:val="2"/>
    <w:qFormat/>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0"/>
    <w:link w:val="40"/>
    <w:uiPriority w:val="2"/>
    <w:qFormat/>
    <w:pPr>
      <w:numPr>
        <w:ilvl w:val="3"/>
      </w:numPr>
      <w:outlineLvl w:val="3"/>
    </w:pPr>
    <w:rPr>
      <w:iCs/>
    </w:rPr>
  </w:style>
  <w:style w:type="paragraph" w:styleId="5">
    <w:name w:val="heading 5"/>
    <w:basedOn w:val="4"/>
    <w:next w:val="a0"/>
    <w:link w:val="50"/>
    <w:uiPriority w:val="2"/>
    <w:qFormat/>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
    <w:qFormat/>
    <w:pPr>
      <w:numPr>
        <w:numId w:val="2"/>
      </w:numPr>
      <w:contextualSpacing/>
    </w:pPr>
    <w:rPr>
      <w:rFonts w:eastAsia="Cambria" w:cs="Times New Roman"/>
      <w:szCs w:val="24"/>
    </w:rPr>
  </w:style>
  <w:style w:type="paragraph" w:styleId="a4">
    <w:name w:val="caption"/>
    <w:basedOn w:val="a0"/>
    <w:next w:val="a5"/>
    <w:uiPriority w:val="35"/>
    <w:unhideWhenUsed/>
    <w:qFormat/>
    <w:pPr>
      <w:keepNext/>
    </w:pPr>
    <w:rPr>
      <w:rFonts w:cs="Times New Roman"/>
      <w:b/>
      <w:bCs/>
      <w:szCs w:val="24"/>
    </w:rPr>
  </w:style>
  <w:style w:type="paragraph" w:styleId="a5">
    <w:name w:val="No Spacing"/>
    <w:uiPriority w:val="99"/>
    <w:unhideWhenUsed/>
    <w:qFormat/>
    <w:rPr>
      <w:rFonts w:ascii="Times New Roman" w:hAnsi="Times New Roman"/>
      <w:sz w:val="24"/>
      <w:szCs w:val="22"/>
      <w:lang w:eastAsia="en-US"/>
    </w:rPr>
  </w:style>
  <w:style w:type="paragraph" w:styleId="a6">
    <w:name w:val="annotation text"/>
    <w:basedOn w:val="a0"/>
    <w:link w:val="a7"/>
    <w:uiPriority w:val="99"/>
    <w:semiHidden/>
    <w:unhideWhenUsed/>
    <w:rPr>
      <w:sz w:val="20"/>
      <w:szCs w:val="20"/>
    </w:rPr>
  </w:style>
  <w:style w:type="paragraph" w:styleId="a8">
    <w:name w:val="endnote text"/>
    <w:basedOn w:val="a0"/>
    <w:link w:val="a9"/>
    <w:uiPriority w:val="99"/>
    <w:semiHidden/>
    <w:unhideWhenUsed/>
    <w:qFormat/>
    <w:pPr>
      <w:spacing w:after="0"/>
    </w:pPr>
    <w:rPr>
      <w:sz w:val="20"/>
      <w:szCs w:val="20"/>
    </w:rPr>
  </w:style>
  <w:style w:type="paragraph" w:styleId="aa">
    <w:name w:val="Balloon Text"/>
    <w:basedOn w:val="a0"/>
    <w:link w:val="ab"/>
    <w:uiPriority w:val="99"/>
    <w:semiHidden/>
    <w:unhideWhenUsed/>
    <w:pPr>
      <w:spacing w:after="0"/>
    </w:pPr>
    <w:rPr>
      <w:rFonts w:ascii="Tahoma" w:hAnsi="Tahoma" w:cs="Tahoma"/>
      <w:sz w:val="16"/>
      <w:szCs w:val="16"/>
    </w:rPr>
  </w:style>
  <w:style w:type="paragraph" w:styleId="ac">
    <w:name w:val="footer"/>
    <w:basedOn w:val="a0"/>
    <w:link w:val="ad"/>
    <w:uiPriority w:val="99"/>
    <w:unhideWhenUsed/>
    <w:pPr>
      <w:tabs>
        <w:tab w:val="center" w:pos="4844"/>
        <w:tab w:val="right" w:pos="9689"/>
      </w:tabs>
      <w:spacing w:after="0"/>
    </w:pPr>
  </w:style>
  <w:style w:type="paragraph" w:styleId="ae">
    <w:name w:val="header"/>
    <w:basedOn w:val="a0"/>
    <w:link w:val="af"/>
    <w:uiPriority w:val="99"/>
    <w:unhideWhenUsed/>
    <w:qFormat/>
    <w:pPr>
      <w:tabs>
        <w:tab w:val="center" w:pos="4844"/>
        <w:tab w:val="right" w:pos="9689"/>
      </w:tabs>
    </w:pPr>
    <w:rPr>
      <w:b/>
    </w:rPr>
  </w:style>
  <w:style w:type="paragraph" w:styleId="af0">
    <w:name w:val="Subtitle"/>
    <w:basedOn w:val="a0"/>
    <w:next w:val="a0"/>
    <w:link w:val="af1"/>
    <w:uiPriority w:val="99"/>
    <w:unhideWhenUsed/>
    <w:qFormat/>
    <w:pPr>
      <w:spacing w:before="240"/>
    </w:pPr>
    <w:rPr>
      <w:rFonts w:cs="Times New Roman"/>
      <w:b/>
      <w:szCs w:val="24"/>
    </w:rPr>
  </w:style>
  <w:style w:type="paragraph" w:styleId="af2">
    <w:name w:val="footnote text"/>
    <w:basedOn w:val="a0"/>
    <w:link w:val="af3"/>
    <w:uiPriority w:val="99"/>
    <w:semiHidden/>
    <w:unhideWhenUsed/>
    <w:qFormat/>
    <w:pPr>
      <w:spacing w:after="0"/>
    </w:pPr>
    <w:rPr>
      <w:sz w:val="20"/>
      <w:szCs w:val="20"/>
    </w:rPr>
  </w:style>
  <w:style w:type="paragraph" w:styleId="af4">
    <w:name w:val="Normal (Web)"/>
    <w:basedOn w:val="a0"/>
    <w:uiPriority w:val="99"/>
    <w:unhideWhenUsed/>
    <w:qFormat/>
    <w:pPr>
      <w:spacing w:before="100" w:beforeAutospacing="1" w:after="100" w:afterAutospacing="1"/>
    </w:pPr>
    <w:rPr>
      <w:rFonts w:eastAsia="Times New Roman" w:cs="Times New Roman"/>
      <w:szCs w:val="24"/>
    </w:rPr>
  </w:style>
  <w:style w:type="paragraph" w:styleId="af5">
    <w:name w:val="Title"/>
    <w:basedOn w:val="a0"/>
    <w:next w:val="a0"/>
    <w:link w:val="af6"/>
    <w:qFormat/>
    <w:pPr>
      <w:suppressLineNumbers/>
      <w:spacing w:before="240" w:after="360"/>
      <w:jc w:val="center"/>
    </w:pPr>
    <w:rPr>
      <w:rFonts w:cs="Times New Roman"/>
      <w:b/>
      <w:sz w:val="32"/>
      <w:szCs w:val="32"/>
    </w:rPr>
  </w:style>
  <w:style w:type="paragraph" w:styleId="af7">
    <w:name w:val="annotation subject"/>
    <w:basedOn w:val="a6"/>
    <w:next w:val="a6"/>
    <w:link w:val="af8"/>
    <w:uiPriority w:val="99"/>
    <w:semiHidden/>
    <w:unhideWhenUsed/>
    <w:rPr>
      <w:b/>
      <w:bCs/>
    </w:rPr>
  </w:style>
  <w:style w:type="table" w:styleId="af9">
    <w:name w:val="Table Grid"/>
    <w:basedOn w:val="a2"/>
    <w:uiPriority w:val="59"/>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1"/>
    <w:uiPriority w:val="22"/>
    <w:qFormat/>
    <w:rPr>
      <w:rFonts w:ascii="Times New Roman" w:hAnsi="Times New Roman"/>
      <w:b/>
      <w:bCs/>
    </w:rPr>
  </w:style>
  <w:style w:type="character" w:styleId="afb">
    <w:name w:val="endnote reference"/>
    <w:basedOn w:val="a1"/>
    <w:uiPriority w:val="99"/>
    <w:semiHidden/>
    <w:unhideWhenUsed/>
    <w:rPr>
      <w:vertAlign w:val="superscript"/>
    </w:rPr>
  </w:style>
  <w:style w:type="character" w:styleId="afc">
    <w:name w:val="FollowedHyperlink"/>
    <w:basedOn w:val="a1"/>
    <w:uiPriority w:val="99"/>
    <w:semiHidden/>
    <w:unhideWhenUsed/>
    <w:rPr>
      <w:color w:val="800080" w:themeColor="followedHyperlink"/>
      <w:u w:val="single"/>
    </w:rPr>
  </w:style>
  <w:style w:type="character" w:styleId="afd">
    <w:name w:val="Emphasis"/>
    <w:basedOn w:val="a1"/>
    <w:uiPriority w:val="20"/>
    <w:qFormat/>
    <w:rPr>
      <w:rFonts w:ascii="Times New Roman" w:hAnsi="Times New Roman"/>
      <w:i/>
      <w:iCs/>
    </w:rPr>
  </w:style>
  <w:style w:type="character" w:styleId="afe">
    <w:name w:val="line number"/>
    <w:basedOn w:val="a1"/>
    <w:uiPriority w:val="99"/>
    <w:semiHidden/>
    <w:unhideWhenUsed/>
    <w:qFormat/>
  </w:style>
  <w:style w:type="character" w:styleId="aff">
    <w:name w:val="Hyperlink"/>
    <w:basedOn w:val="a1"/>
    <w:uiPriority w:val="99"/>
    <w:unhideWhenUsed/>
    <w:qFormat/>
    <w:rPr>
      <w:color w:val="0000FF"/>
      <w:u w:val="single"/>
    </w:rPr>
  </w:style>
  <w:style w:type="character" w:styleId="aff0">
    <w:name w:val="annotation reference"/>
    <w:basedOn w:val="a1"/>
    <w:uiPriority w:val="99"/>
    <w:semiHidden/>
    <w:unhideWhenUsed/>
    <w:rPr>
      <w:sz w:val="16"/>
      <w:szCs w:val="16"/>
    </w:rPr>
  </w:style>
  <w:style w:type="character" w:styleId="aff1">
    <w:name w:val="footnote reference"/>
    <w:basedOn w:val="a1"/>
    <w:uiPriority w:val="99"/>
    <w:semiHidden/>
    <w:unhideWhenUsed/>
    <w:qFormat/>
    <w:rPr>
      <w:vertAlign w:val="superscript"/>
    </w:rPr>
  </w:style>
  <w:style w:type="character" w:customStyle="1" w:styleId="10">
    <w:name w:val="标题 1 字符"/>
    <w:basedOn w:val="a1"/>
    <w:link w:val="1"/>
    <w:uiPriority w:val="2"/>
    <w:rPr>
      <w:rFonts w:ascii="Times New Roman" w:eastAsia="Cambria" w:hAnsi="Times New Roman" w:cs="Times New Roman"/>
      <w:b/>
      <w:sz w:val="24"/>
      <w:szCs w:val="24"/>
    </w:rPr>
  </w:style>
  <w:style w:type="character" w:customStyle="1" w:styleId="20">
    <w:name w:val="标题 2 字符"/>
    <w:basedOn w:val="a1"/>
    <w:link w:val="2"/>
    <w:uiPriority w:val="2"/>
    <w:rPr>
      <w:rFonts w:ascii="Times New Roman" w:eastAsia="Cambria" w:hAnsi="Times New Roman" w:cs="Times New Roman"/>
      <w:b/>
      <w:sz w:val="24"/>
      <w:szCs w:val="24"/>
    </w:rPr>
  </w:style>
  <w:style w:type="character" w:customStyle="1" w:styleId="af1">
    <w:name w:val="副标题 字符"/>
    <w:basedOn w:val="a1"/>
    <w:link w:val="af0"/>
    <w:uiPriority w:val="99"/>
    <w:rPr>
      <w:rFonts w:ascii="Times New Roman" w:hAnsi="Times New Roman" w:cs="Times New Roman"/>
      <w:b/>
      <w:sz w:val="24"/>
      <w:szCs w:val="24"/>
    </w:rPr>
  </w:style>
  <w:style w:type="paragraph" w:customStyle="1" w:styleId="AuthorList">
    <w:name w:val="Author List"/>
    <w:basedOn w:val="af0"/>
    <w:next w:val="a0"/>
    <w:uiPriority w:val="1"/>
    <w:qFormat/>
  </w:style>
  <w:style w:type="character" w:customStyle="1" w:styleId="ab">
    <w:name w:val="批注框文本 字符"/>
    <w:basedOn w:val="a1"/>
    <w:link w:val="aa"/>
    <w:uiPriority w:val="99"/>
    <w:semiHidden/>
    <w:rPr>
      <w:rFonts w:ascii="Tahoma" w:hAnsi="Tahoma" w:cs="Tahoma"/>
      <w:sz w:val="16"/>
      <w:szCs w:val="16"/>
    </w:rPr>
  </w:style>
  <w:style w:type="character" w:customStyle="1" w:styleId="11">
    <w:name w:val="书籍标题1"/>
    <w:basedOn w:val="a1"/>
    <w:uiPriority w:val="33"/>
    <w:qFormat/>
    <w:rPr>
      <w:rFonts w:ascii="Times New Roman" w:hAnsi="Times New Roman"/>
      <w:b/>
      <w:bCs/>
      <w:i/>
      <w:iCs/>
      <w:spacing w:val="5"/>
    </w:rPr>
  </w:style>
  <w:style w:type="character" w:customStyle="1" w:styleId="a7">
    <w:name w:val="批注文字 字符"/>
    <w:basedOn w:val="a1"/>
    <w:link w:val="a6"/>
    <w:uiPriority w:val="99"/>
    <w:semiHidden/>
    <w:rPr>
      <w:rFonts w:ascii="Times New Roman" w:hAnsi="Times New Roman"/>
      <w:sz w:val="20"/>
      <w:szCs w:val="20"/>
    </w:rPr>
  </w:style>
  <w:style w:type="character" w:customStyle="1" w:styleId="af8">
    <w:name w:val="批注主题 字符"/>
    <w:basedOn w:val="a7"/>
    <w:link w:val="af7"/>
    <w:uiPriority w:val="99"/>
    <w:semiHidden/>
    <w:qFormat/>
    <w:rPr>
      <w:rFonts w:ascii="Times New Roman" w:hAnsi="Times New Roman"/>
      <w:b/>
      <w:bCs/>
      <w:sz w:val="20"/>
      <w:szCs w:val="20"/>
    </w:rPr>
  </w:style>
  <w:style w:type="character" w:customStyle="1" w:styleId="a9">
    <w:name w:val="尾注文本 字符"/>
    <w:basedOn w:val="a1"/>
    <w:link w:val="a8"/>
    <w:uiPriority w:val="99"/>
    <w:semiHidden/>
    <w:qFormat/>
    <w:rPr>
      <w:rFonts w:ascii="Times New Roman" w:hAnsi="Times New Roman"/>
      <w:sz w:val="20"/>
      <w:szCs w:val="20"/>
    </w:rPr>
  </w:style>
  <w:style w:type="character" w:customStyle="1" w:styleId="ad">
    <w:name w:val="页脚 字符"/>
    <w:basedOn w:val="a1"/>
    <w:link w:val="ac"/>
    <w:uiPriority w:val="99"/>
    <w:qFormat/>
    <w:rPr>
      <w:rFonts w:ascii="Times New Roman" w:hAnsi="Times New Roman"/>
      <w:sz w:val="24"/>
    </w:rPr>
  </w:style>
  <w:style w:type="character" w:customStyle="1" w:styleId="af3">
    <w:name w:val="脚注文本 字符"/>
    <w:basedOn w:val="a1"/>
    <w:link w:val="af2"/>
    <w:uiPriority w:val="99"/>
    <w:semiHidden/>
    <w:qFormat/>
    <w:rPr>
      <w:rFonts w:ascii="Times New Roman" w:hAnsi="Times New Roman"/>
      <w:sz w:val="20"/>
      <w:szCs w:val="20"/>
    </w:rPr>
  </w:style>
  <w:style w:type="character" w:customStyle="1" w:styleId="af">
    <w:name w:val="页眉 字符"/>
    <w:basedOn w:val="a1"/>
    <w:link w:val="ae"/>
    <w:uiPriority w:val="99"/>
    <w:qFormat/>
    <w:rPr>
      <w:rFonts w:ascii="Times New Roman" w:hAnsi="Times New Roman"/>
      <w:b/>
      <w:sz w:val="24"/>
    </w:rPr>
  </w:style>
  <w:style w:type="character" w:customStyle="1" w:styleId="12">
    <w:name w:val="明显强调1"/>
    <w:basedOn w:val="a1"/>
    <w:uiPriority w:val="21"/>
    <w:unhideWhenUsed/>
    <w:qFormat/>
    <w:rPr>
      <w:rFonts w:ascii="Times New Roman" w:hAnsi="Times New Roman"/>
      <w:i/>
      <w:iCs/>
      <w:color w:val="auto"/>
    </w:rPr>
  </w:style>
  <w:style w:type="character" w:customStyle="1" w:styleId="13">
    <w:name w:val="明显参考1"/>
    <w:basedOn w:val="a1"/>
    <w:uiPriority w:val="32"/>
    <w:qFormat/>
    <w:rPr>
      <w:b/>
      <w:bCs/>
      <w:smallCaps/>
      <w:color w:val="auto"/>
      <w:spacing w:val="5"/>
    </w:rPr>
  </w:style>
  <w:style w:type="character" w:customStyle="1" w:styleId="30">
    <w:name w:val="标题 3 字符"/>
    <w:basedOn w:val="a1"/>
    <w:link w:val="3"/>
    <w:uiPriority w:val="2"/>
    <w:qFormat/>
    <w:rPr>
      <w:rFonts w:ascii="Times New Roman" w:eastAsiaTheme="majorEastAsia" w:hAnsi="Times New Roman" w:cstheme="majorBidi"/>
      <w:b/>
      <w:sz w:val="24"/>
      <w:szCs w:val="24"/>
    </w:rPr>
  </w:style>
  <w:style w:type="character" w:customStyle="1" w:styleId="40">
    <w:name w:val="标题 4 字符"/>
    <w:basedOn w:val="a1"/>
    <w:link w:val="4"/>
    <w:uiPriority w:val="2"/>
    <w:qFormat/>
    <w:rPr>
      <w:rFonts w:ascii="Times New Roman" w:eastAsiaTheme="majorEastAsia" w:hAnsi="Times New Roman" w:cstheme="majorBidi"/>
      <w:b/>
      <w:iCs/>
      <w:sz w:val="24"/>
      <w:szCs w:val="24"/>
    </w:rPr>
  </w:style>
  <w:style w:type="character" w:customStyle="1" w:styleId="50">
    <w:name w:val="标题 5 字符"/>
    <w:basedOn w:val="a1"/>
    <w:link w:val="5"/>
    <w:uiPriority w:val="2"/>
    <w:qFormat/>
    <w:rPr>
      <w:rFonts w:ascii="Times New Roman" w:eastAsiaTheme="majorEastAsia" w:hAnsi="Times New Roman" w:cstheme="majorBidi"/>
      <w:b/>
      <w:iCs/>
      <w:sz w:val="24"/>
      <w:szCs w:val="24"/>
    </w:rPr>
  </w:style>
  <w:style w:type="paragraph" w:styleId="aff2">
    <w:name w:val="Quote"/>
    <w:basedOn w:val="a0"/>
    <w:next w:val="a0"/>
    <w:link w:val="aff3"/>
    <w:uiPriority w:val="29"/>
    <w:qFormat/>
    <w:pPr>
      <w:spacing w:before="200" w:after="160"/>
      <w:ind w:left="864" w:right="864"/>
      <w:jc w:val="center"/>
    </w:pPr>
    <w:rPr>
      <w:i/>
      <w:iCs/>
      <w:color w:val="404040" w:themeColor="text1" w:themeTint="BF"/>
    </w:rPr>
  </w:style>
  <w:style w:type="character" w:customStyle="1" w:styleId="aff3">
    <w:name w:val="引用 字符"/>
    <w:basedOn w:val="a1"/>
    <w:link w:val="aff2"/>
    <w:uiPriority w:val="29"/>
    <w:qFormat/>
    <w:rPr>
      <w:rFonts w:ascii="Times New Roman" w:hAnsi="Times New Roman"/>
      <w:i/>
      <w:iCs/>
      <w:color w:val="404040" w:themeColor="text1" w:themeTint="BF"/>
      <w:sz w:val="24"/>
    </w:rPr>
  </w:style>
  <w:style w:type="character" w:customStyle="1" w:styleId="14">
    <w:name w:val="不明显强调1"/>
    <w:basedOn w:val="a1"/>
    <w:uiPriority w:val="19"/>
    <w:qFormat/>
    <w:rPr>
      <w:rFonts w:ascii="Times New Roman" w:hAnsi="Times New Roman"/>
      <w:i/>
      <w:iCs/>
      <w:color w:val="404040" w:themeColor="text1" w:themeTint="BF"/>
    </w:rPr>
  </w:style>
  <w:style w:type="character" w:customStyle="1" w:styleId="af6">
    <w:name w:val="标题 字符"/>
    <w:basedOn w:val="a1"/>
    <w:link w:val="af5"/>
    <w:rPr>
      <w:rFonts w:ascii="Times New Roman" w:hAnsi="Times New Roman" w:cs="Times New Roman"/>
      <w:b/>
      <w:sz w:val="32"/>
      <w:szCs w:val="32"/>
    </w:rPr>
  </w:style>
  <w:style w:type="paragraph" w:customStyle="1" w:styleId="SupplementaryMaterial">
    <w:name w:val="Supplementary Material"/>
    <w:basedOn w:val="af5"/>
    <w:next w:val="af5"/>
    <w:qFormat/>
    <w:pPr>
      <w:spacing w:after="120"/>
    </w:pPr>
    <w:rPr>
      <w:i/>
    </w:rPr>
  </w:style>
  <w:style w:type="paragraph" w:customStyle="1" w:styleId="supplementarymaterial0">
    <w:name w:val="supplementarymaterial"/>
    <w:basedOn w:val="a0"/>
    <w:pPr>
      <w:spacing w:before="100" w:beforeAutospacing="1" w:after="100" w:afterAutospacing="1"/>
    </w:pPr>
    <w:rPr>
      <w:rFonts w:ascii="宋体" w:eastAsia="宋体" w:hAnsi="宋体" w:cs="宋体"/>
      <w:szCs w:val="24"/>
      <w:lang w:eastAsia="zh-CN"/>
    </w:rPr>
  </w:style>
  <w:style w:type="table" w:customStyle="1" w:styleId="15">
    <w:name w:val="网格型1"/>
    <w:basedOn w:val="a2"/>
    <w:uiPriority w:val="39"/>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2"/>
    <w:uiPriority w:val="39"/>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2"/>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tif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EF7F616D-40B4-4EA0-852A-DAF5954D9F0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2</TotalTime>
  <Pages>4</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华 陕</cp:lastModifiedBy>
  <cp:revision>63</cp:revision>
  <cp:lastPrinted>2013-10-03T12:51:00Z</cp:lastPrinted>
  <dcterms:created xsi:type="dcterms:W3CDTF">2018-11-23T08:58:00Z</dcterms:created>
  <dcterms:modified xsi:type="dcterms:W3CDTF">2024-08-21T06:56:00Z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50AD465A2CF94D9BA50BC7551EB476AD</vt:lpwstr>
  </property>
</Properties>
</file>