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r>
        <w:rPr>
          <w:rFonts w:ascii="Times New Roman" w:hAnsi="Times New Roman" w:cs="Times New Roman"/>
          <w:b/>
          <w:bCs/>
          <w:sz w:val="24"/>
          <w:szCs w:val="24"/>
        </w:rPr>
        <w:t>Table 1</w:t>
      </w:r>
      <w:r>
        <w:rPr>
          <w:rStyle w:val="7"/>
          <w:rFonts w:hint="eastAsia"/>
          <w:b/>
          <w:bCs/>
        </w:rPr>
        <w:t>.</w:t>
      </w:r>
      <w:r>
        <w:rPr>
          <w:rStyle w:val="7"/>
          <w:b/>
          <w:bCs/>
        </w:rPr>
        <w:t xml:space="preserve"> Baseline characteristics</w:t>
      </w:r>
      <w:r>
        <w:rPr>
          <w:rStyle w:val="7"/>
          <w:rFonts w:hint="eastAsia"/>
          <w:b/>
          <w:bCs/>
          <w:i/>
          <w:iCs/>
        </w:rPr>
        <w:t xml:space="preserve"> </w:t>
      </w:r>
      <w:r>
        <w:rPr>
          <w:rFonts w:ascii="Times New Roman" w:hAnsi="Times New Roman" w:eastAsia="等线"/>
          <w:b/>
          <w:bCs/>
          <w:sz w:val="22"/>
          <w:szCs w:val="22"/>
        </w:rPr>
        <w:t>of the participants</w:t>
      </w:r>
    </w:p>
    <w:tbl>
      <w:tblPr>
        <w:tblStyle w:val="4"/>
        <w:tblW w:w="9492" w:type="dxa"/>
        <w:jc w:val="center"/>
        <w:tblBorders>
          <w:top w:val="single" w:color="000000" w:sz="12" w:space="0"/>
          <w:left w:val="single" w:color="auto" w:sz="4" w:space="0"/>
          <w:bottom w:val="single" w:color="000000" w:sz="12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742"/>
        <w:gridCol w:w="1658"/>
        <w:gridCol w:w="1660"/>
        <w:gridCol w:w="1660"/>
        <w:gridCol w:w="834"/>
      </w:tblGrid>
      <w:tr>
        <w:tblPrEx>
          <w:tblBorders>
            <w:top w:val="single" w:color="000000" w:sz="12" w:space="0"/>
            <w:left w:val="single" w:color="auto" w:sz="4" w:space="0"/>
            <w:bottom w:val="single" w:color="000000" w:sz="12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9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74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Group 1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Group 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Group 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Group 4</w:t>
            </w:r>
          </w:p>
        </w:tc>
        <w:tc>
          <w:tcPr>
            <w:tcW w:w="8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i/>
                <w:iCs/>
                <w:kern w:val="0"/>
                <w:sz w:val="18"/>
                <w:szCs w:val="18"/>
              </w:rPr>
              <w:t>P v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alue</w:t>
            </w:r>
          </w:p>
        </w:tc>
      </w:tr>
      <w:tr>
        <w:tblPrEx>
          <w:tblBorders>
            <w:top w:val="single" w:color="000000" w:sz="12" w:space="0"/>
            <w:left w:val="single" w:color="auto" w:sz="4" w:space="0"/>
            <w:bottom w:val="single" w:color="000000" w:sz="12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19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(N=42)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(N=20)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(N=20)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(N=40)</w:t>
            </w:r>
          </w:p>
        </w:tc>
        <w:tc>
          <w:tcPr>
            <w:tcW w:w="8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auto" w:sz="4" w:space="0"/>
            <w:bottom w:val="single" w:color="000000" w:sz="12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3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Age,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 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174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53 (33, 59)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55 (32, 65)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51 (37, 56)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32 (27, 38)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0.646</w:t>
            </w:r>
          </w:p>
        </w:tc>
      </w:tr>
      <w:tr>
        <w:tblPrEx>
          <w:tblBorders>
            <w:top w:val="single" w:color="000000" w:sz="12" w:space="0"/>
            <w:left w:val="single" w:color="auto" w:sz="4" w:space="0"/>
            <w:bottom w:val="single" w:color="000000" w:sz="12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Male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sex,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no.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 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27 (64.3%)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5 (35.0%)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8 (40.0%)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18 (45.0%)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0.094</w:t>
            </w:r>
          </w:p>
        </w:tc>
      </w:tr>
      <w:tr>
        <w:tblPrEx>
          <w:tblBorders>
            <w:top w:val="single" w:color="000000" w:sz="12" w:space="0"/>
            <w:left w:val="single" w:color="auto" w:sz="4" w:space="0"/>
            <w:bottom w:val="single" w:color="000000" w:sz="12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Anti-IFN-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γ antibody-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positive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,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no. (%)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22 (52.4%)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7 (35.0%)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2 (10.0%)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0.015</w:t>
            </w:r>
          </w:p>
        </w:tc>
      </w:tr>
      <w:tr>
        <w:tblPrEx>
          <w:tblBorders>
            <w:top w:val="single" w:color="000000" w:sz="12" w:space="0"/>
            <w:left w:val="single" w:color="auto" w:sz="4" w:space="0"/>
            <w:bottom w:val="single" w:color="000000" w:sz="12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kern w:val="0"/>
                <w:sz w:val="18"/>
                <w:szCs w:val="18"/>
              </w:rPr>
              <w:t>Anti-IFN-</w:t>
            </w: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γ</w:t>
            </w:r>
            <w:r>
              <w:rPr>
                <w:rFonts w:hint="eastAsia" w:ascii="Times New Roman" w:hAnsi="Times New Roman" w:eastAsia="等线"/>
                <w:kern w:val="0"/>
                <w:sz w:val="18"/>
                <w:szCs w:val="18"/>
              </w:rPr>
              <w:t xml:space="preserve"> antibody titer (ng/ml)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661.33 (334.88, 941.29)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496.17 (418.11, 672.54)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346.24 (304.32, 394.98)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353.97 (277.40, 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422.38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&lt;0.001</w:t>
            </w:r>
          </w:p>
        </w:tc>
      </w:tr>
    </w:tbl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rPr>
          <w:rFonts w:ascii="Times New Roman" w:hAnsi="Times New Roman" w:eastAsia="等线"/>
          <w:b/>
          <w:bCs/>
          <w:sz w:val="22"/>
          <w:szCs w:val="22"/>
        </w:rPr>
      </w:pPr>
    </w:p>
    <w:p>
      <w:r>
        <w:rPr>
          <w:rFonts w:ascii="Times New Roman" w:hAnsi="Times New Roman" w:eastAsia="等线"/>
          <w:b/>
          <w:bCs/>
          <w:sz w:val="22"/>
          <w:szCs w:val="22"/>
        </w:rPr>
        <w:t xml:space="preserve">Table </w:t>
      </w:r>
      <w:r>
        <w:rPr>
          <w:rFonts w:hint="eastAsia" w:ascii="Times New Roman" w:hAnsi="Times New Roman" w:eastAsia="等线"/>
          <w:b/>
          <w:bCs/>
          <w:sz w:val="22"/>
          <w:szCs w:val="22"/>
          <w:lang w:val="en-US" w:eastAsia="zh-CN"/>
        </w:rPr>
        <w:t>2</w:t>
      </w:r>
      <w:r>
        <w:rPr>
          <w:rFonts w:ascii="Times New Roman" w:hAnsi="Times New Roman" w:eastAsia="等线"/>
          <w:b/>
          <w:bCs/>
          <w:sz w:val="22"/>
          <w:szCs w:val="22"/>
        </w:rPr>
        <w:t xml:space="preserve">. Comparison </w:t>
      </w:r>
      <w:r>
        <w:rPr>
          <w:rFonts w:hint="eastAsia" w:ascii="Times New Roman" w:hAnsi="Times New Roman" w:eastAsia="等线"/>
          <w:b/>
          <w:bCs/>
          <w:sz w:val="22"/>
          <w:szCs w:val="22"/>
        </w:rPr>
        <w:t xml:space="preserve">of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clinical characteristics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 xml:space="preserve"> between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group 1P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 xml:space="preserve"> and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group 1N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sz w:val="24"/>
          <w:szCs w:val="24"/>
          <w:lang w:bidi="ar"/>
        </w:rPr>
        <w:t>during the first visit</w:t>
      </w:r>
    </w:p>
    <w:tbl>
      <w:tblPr>
        <w:tblStyle w:val="4"/>
        <w:tblW w:w="9281" w:type="dxa"/>
        <w:tblInd w:w="-483" w:type="dxa"/>
        <w:tblBorders>
          <w:top w:val="single" w:color="auto" w:sz="8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  <w:gridCol w:w="2311"/>
        <w:gridCol w:w="2053"/>
        <w:gridCol w:w="1056"/>
      </w:tblGrid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vMerge w:val="restart"/>
            <w:tcBorders>
              <w:top w:val="single" w:color="auto" w:sz="8" w:space="0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Variable</w:t>
            </w:r>
          </w:p>
        </w:tc>
        <w:tc>
          <w:tcPr>
            <w:tcW w:w="231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Group 1P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Group 1N</w:t>
            </w:r>
          </w:p>
        </w:tc>
        <w:tc>
          <w:tcPr>
            <w:tcW w:w="1056" w:type="dxa"/>
            <w:vMerge w:val="restart"/>
            <w:tcBorders>
              <w:top w:val="single" w:color="auto" w:sz="8" w:space="0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kern w:val="0"/>
                <w:sz w:val="18"/>
                <w:szCs w:val="18"/>
              </w:rPr>
              <w:t>P value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vMerge w:val="continue"/>
            <w:tcBorders>
              <w:top w:val="single" w:color="auto" w:sz="8" w:space="0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(N=22)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(N=20)</w:t>
            </w:r>
          </w:p>
        </w:tc>
        <w:tc>
          <w:tcPr>
            <w:tcW w:w="1056" w:type="dxa"/>
            <w:vMerge w:val="continue"/>
            <w:tcBorders>
              <w:top w:val="single" w:color="auto" w:sz="8" w:space="0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Age, years</w:t>
            </w:r>
          </w:p>
        </w:tc>
        <w:tc>
          <w:tcPr>
            <w:tcW w:w="231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52.0 (34.8, 58.0)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54.5 (29.0, 63.8)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0.734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Male sex, no. (%)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14 (63.6%)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13 (65.0%)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Anti-IFN-γ antibody titer (ng/ml)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926.31 (760.02, 2103.20)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332.40 (243.51,491.89)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＜0.001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Time from symptom onset to diagnosis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149.5 (57.2, 272.3)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98.5 (22.3,154.5)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0.107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bookmarkStart w:id="0" w:name="OLE_LINK7"/>
            <w:r>
              <w:rPr>
                <w:rFonts w:hint="eastAsia" w:ascii="Times New Roman" w:hAnsi="Times New Roman" w:eastAsia="等线"/>
                <w:b/>
                <w:bCs/>
                <w:kern w:val="0"/>
                <w:sz w:val="18"/>
                <w:szCs w:val="18"/>
              </w:rPr>
              <w:t>Coexisting r</w:t>
            </w:r>
            <w:r>
              <w:rPr>
                <w:rFonts w:ascii="Times New Roman" w:hAnsi="Times New Roman" w:eastAsia="等线"/>
                <w:b/>
                <w:bCs/>
                <w:kern w:val="0"/>
                <w:sz w:val="18"/>
                <w:szCs w:val="18"/>
              </w:rPr>
              <w:t>espiratory disease</w:t>
            </w:r>
            <w:bookmarkEnd w:id="0"/>
            <w:r>
              <w:rPr>
                <w:rFonts w:ascii="Times New Roman" w:hAnsi="Times New Roman" w:eastAsia="等线"/>
                <w:b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 </w:t>
            </w:r>
            <w:r>
              <w:rPr>
                <w:rFonts w:ascii="Times New Roman" w:hAnsi="Times New Roman" w:eastAsia="等线"/>
                <w:b/>
                <w:bCs/>
                <w:kern w:val="0"/>
                <w:sz w:val="18"/>
                <w:szCs w:val="18"/>
              </w:rPr>
              <w:t>no. (%)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 (13.6%)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10 (50.0%)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0.019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Bronchiolitis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(20.0%)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0.043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COPD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(9.1%)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(20.0%)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0.400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COPD with bronchiectasis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(10.0%)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0.221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Asthma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(4.5%)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0.476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Extrapulmonary organ involvement, no. (%)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18"/>
              </w:rPr>
              <w:t>18 (81.8%)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11 (55.0%)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0.096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Skin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(45.5%)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(15.0%)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0.047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Lymph node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18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(81.8%)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11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(55.0%)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0.096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Liver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(9.1%)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(5.0%)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1.000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Spleen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(9.1%)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0.489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Bone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(40.9%)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(5.0%)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0.01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Symptoms, no. (%)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Fever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12 (54.5%)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6 (30.0%)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0.131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Cough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17 (77.3%)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17 (85.0%)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0.700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Sputum production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14 (63.6%)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15 (75.0%)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0.514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Hemoptysis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4 (18.2%)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 (15.0%)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Dyspnea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6 (27.3%)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 (15%)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0.460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Chest pain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9 (40.9%)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6 (30.0%)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0.531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Osteodynia/Arthralgia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7 (31.8%)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 (15.0%)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0.284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Wasting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13 (59.0%)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10 (50.0%)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0.757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Moist rales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6 (27.3%)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8 (40.0%)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0.515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86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bookmarkStart w:id="1" w:name="OLE_LINK8"/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Pleural effusion</w:t>
            </w:r>
            <w:bookmarkEnd w:id="1"/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13 (59.1%)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 (15.0%)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0.005</w:t>
            </w:r>
          </w:p>
        </w:tc>
      </w:tr>
    </w:tbl>
    <w:p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COPD=chronic obstructive pulmonary disease</w:t>
      </w:r>
    </w:p>
    <w:p>
      <w:pPr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G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>roup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 xml:space="preserve">1P= </w:t>
      </w:r>
      <w:r>
        <w:rPr>
          <w:rFonts w:hint="eastAsia" w:ascii="Times New Roman" w:hAnsi="Times New Roman"/>
          <w:color w:val="000000"/>
          <w:sz w:val="22"/>
        </w:rPr>
        <w:t>anti-IFN-</w:t>
      </w:r>
      <w:r>
        <w:rPr>
          <w:rFonts w:ascii="Times New Roman" w:hAnsi="Times New Roman" w:eastAsia="等线 Light"/>
          <w:color w:val="000000"/>
          <w:sz w:val="22"/>
        </w:rPr>
        <w:t>γ</w:t>
      </w:r>
      <w:r>
        <w:rPr>
          <w:rFonts w:hint="eastAsia" w:ascii="Times New Roman" w:hAnsi="Times New Roman"/>
          <w:color w:val="000000"/>
          <w:sz w:val="22"/>
        </w:rPr>
        <w:t xml:space="preserve"> autoantibod</w:t>
      </w:r>
      <w:r>
        <w:rPr>
          <w:rFonts w:ascii="Times New Roman" w:hAnsi="Times New Roman"/>
          <w:color w:val="000000"/>
          <w:sz w:val="22"/>
        </w:rPr>
        <w:t>y</w:t>
      </w:r>
      <w:r>
        <w:rPr>
          <w:rFonts w:hint="eastAsia" w:ascii="Times New Roman" w:hAnsi="Times New Roman"/>
          <w:color w:val="000000"/>
          <w:sz w:val="22"/>
        </w:rPr>
        <w:t>-positive group</w:t>
      </w:r>
    </w:p>
    <w:p>
      <w:pPr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G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>roup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 xml:space="preserve">1N= </w:t>
      </w:r>
      <w:r>
        <w:rPr>
          <w:rFonts w:hint="eastAsia" w:ascii="Times New Roman" w:hAnsi="Times New Roman"/>
          <w:color w:val="000000"/>
          <w:sz w:val="22"/>
        </w:rPr>
        <w:t>anti-IFN-</w:t>
      </w:r>
      <w:r>
        <w:rPr>
          <w:rFonts w:ascii="Times New Roman" w:hAnsi="Times New Roman" w:eastAsia="等线 Light"/>
          <w:color w:val="000000"/>
          <w:sz w:val="22"/>
        </w:rPr>
        <w:t>γ</w:t>
      </w:r>
      <w:r>
        <w:rPr>
          <w:rFonts w:hint="eastAsia" w:ascii="Times New Roman" w:hAnsi="Times New Roman"/>
          <w:color w:val="000000"/>
          <w:sz w:val="22"/>
        </w:rPr>
        <w:t xml:space="preserve"> autoantibod</w:t>
      </w:r>
      <w:r>
        <w:rPr>
          <w:rFonts w:ascii="Times New Roman" w:hAnsi="Times New Roman"/>
          <w:color w:val="000000"/>
          <w:sz w:val="22"/>
        </w:rPr>
        <w:t>y</w:t>
      </w:r>
      <w:r>
        <w:rPr>
          <w:rFonts w:hint="eastAsia" w:ascii="Times New Roman" w:hAnsi="Times New Roman"/>
          <w:color w:val="000000"/>
          <w:sz w:val="22"/>
        </w:rPr>
        <w:t>-negative group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jc w:val="left"/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jc w:val="left"/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jc w:val="left"/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jc w:val="left"/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jc w:val="left"/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jc w:val="left"/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jc w:val="left"/>
        <w:rPr>
          <w:rFonts w:ascii="Times New Roman" w:hAnsi="Times New Roman" w:eastAsia="等线"/>
          <w:b/>
          <w:bCs/>
          <w:sz w:val="22"/>
          <w:szCs w:val="22"/>
        </w:rPr>
      </w:pPr>
    </w:p>
    <w:p>
      <w:pPr>
        <w:jc w:val="left"/>
      </w:pPr>
      <w:bookmarkStart w:id="9" w:name="_GoBack"/>
      <w:bookmarkEnd w:id="9"/>
      <w:r>
        <w:rPr>
          <w:rFonts w:ascii="Times New Roman" w:hAnsi="Times New Roman" w:eastAsia="等线"/>
          <w:b/>
          <w:bCs/>
          <w:sz w:val="22"/>
          <w:szCs w:val="22"/>
        </w:rPr>
        <w:t xml:space="preserve">Table </w:t>
      </w:r>
      <w:r>
        <w:rPr>
          <w:rFonts w:hint="eastAsia" w:ascii="Times New Roman" w:hAnsi="Times New Roman" w:eastAsia="等线"/>
          <w:b/>
          <w:bCs/>
          <w:sz w:val="22"/>
          <w:szCs w:val="22"/>
          <w:lang w:val="en-US" w:eastAsia="zh-CN"/>
        </w:rPr>
        <w:t>3</w:t>
      </w:r>
      <w:r>
        <w:rPr>
          <w:rFonts w:ascii="Times New Roman" w:hAnsi="Times New Roman" w:eastAsia="等线"/>
          <w:b/>
          <w:bCs/>
          <w:sz w:val="22"/>
          <w:szCs w:val="22"/>
        </w:rPr>
        <w:t xml:space="preserve">. Comparison </w:t>
      </w:r>
      <w:r>
        <w:rPr>
          <w:rFonts w:hint="eastAsia" w:ascii="Times New Roman" w:hAnsi="Times New Roman" w:eastAsia="等线"/>
          <w:b/>
          <w:bCs/>
          <w:sz w:val="22"/>
          <w:szCs w:val="22"/>
        </w:rPr>
        <w:t xml:space="preserve">of </w:t>
      </w:r>
      <w:r>
        <w:rPr>
          <w:rFonts w:ascii="Times New Roman" w:hAnsi="Times New Roman"/>
          <w:b/>
          <w:bCs/>
          <w:kern w:val="0"/>
          <w:sz w:val="20"/>
          <w:szCs w:val="20"/>
        </w:rPr>
        <w:t>laboratory</w:t>
      </w:r>
      <w:r>
        <w:rPr>
          <w:rFonts w:hint="eastAsia" w:ascii="Times New Roman" w:hAnsi="Times New Roman"/>
          <w:b/>
          <w:bCs/>
          <w:kern w:val="0"/>
          <w:sz w:val="20"/>
          <w:szCs w:val="20"/>
        </w:rPr>
        <w:t xml:space="preserve"> findings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 xml:space="preserve"> between group 1P and group 1N </w:t>
      </w:r>
      <w:r>
        <w:rPr>
          <w:rFonts w:ascii="Times New Roman" w:hAnsi="Times New Roman"/>
          <w:b/>
          <w:sz w:val="24"/>
          <w:szCs w:val="24"/>
          <w:lang w:bidi="ar"/>
        </w:rPr>
        <w:t>during the first visit</w:t>
      </w:r>
    </w:p>
    <w:tbl>
      <w:tblPr>
        <w:tblStyle w:val="8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15"/>
        <w:gridCol w:w="2428"/>
        <w:gridCol w:w="97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491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等线"/>
                <w:kern w:val="0"/>
                <w:sz w:val="18"/>
                <w:szCs w:val="18"/>
              </w:rPr>
              <w:t>Variable</w:t>
            </w:r>
          </w:p>
        </w:tc>
        <w:tc>
          <w:tcPr>
            <w:tcW w:w="2415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等线"/>
                <w:kern w:val="0"/>
                <w:sz w:val="18"/>
                <w:szCs w:val="18"/>
              </w:rPr>
              <w:t>Group 1P</w:t>
            </w:r>
          </w:p>
        </w:tc>
        <w:tc>
          <w:tcPr>
            <w:tcW w:w="242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等线"/>
                <w:kern w:val="0"/>
                <w:sz w:val="18"/>
                <w:szCs w:val="18"/>
              </w:rPr>
              <w:t>Group 1N</w:t>
            </w:r>
          </w:p>
        </w:tc>
        <w:tc>
          <w:tcPr>
            <w:tcW w:w="972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等线"/>
                <w:i/>
                <w:iCs/>
                <w:kern w:val="0"/>
                <w:sz w:val="18"/>
                <w:szCs w:val="18"/>
              </w:rPr>
              <w:t>P value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等线"/>
                <w:kern w:val="0"/>
                <w:sz w:val="18"/>
                <w:szCs w:val="18"/>
              </w:rPr>
              <w:t>(N=22)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等线"/>
                <w:kern w:val="0"/>
                <w:sz w:val="18"/>
                <w:szCs w:val="18"/>
              </w:rPr>
              <w:t>(N=20)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bookmarkStart w:id="2" w:name="OLE_LINK9"/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White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cell count</w:t>
            </w:r>
            <w:bookmarkEnd w:id="2"/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*10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cells/L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5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13.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4 (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9.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3, 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8.0)</w:t>
            </w:r>
          </w:p>
        </w:tc>
        <w:tc>
          <w:tcPr>
            <w:tcW w:w="242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7.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7 (5.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, 12.0)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.012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bookmarkStart w:id="3" w:name="OLE_LINK2"/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bsolute 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eutrophil count</w:t>
            </w:r>
            <w:bookmarkEnd w:id="3"/>
          </w:p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(*10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cells/L)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10.7 (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6.9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13.3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 (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3.6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, 1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1.4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.019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Neutrophil ratio 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neut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%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0.76 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(0.7, 0.9)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0.7(0.6, 0.8)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0.12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bookmarkStart w:id="4" w:name="OLE_LINK3"/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Eosinophil count</w:t>
            </w:r>
            <w:bookmarkEnd w:id="4"/>
            <w:bookmarkStart w:id="5" w:name="OLE_LINK4"/>
            <w:bookmarkEnd w:id="5"/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(*10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cells/L)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(0.1, 0.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(0.1, 0.3)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.030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bookmarkStart w:id="6" w:name="OLE_LINK10"/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Hemoglobin</w:t>
            </w:r>
            <w:bookmarkEnd w:id="6"/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(g/L)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9.7 (69.0,123.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11.0 (93.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,129.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.049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Platelet count 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(*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cells/L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10.5 (226.2,485.7)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12.0 (189.0,408.0)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.569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Erythrocyte sedimentation rate (mm/h)*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98.0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72.0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, 10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.0)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52.0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15.9, 88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.008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C-reactive protein (mg/dL)</w:t>
            </w:r>
            <w:r>
              <w:rPr>
                <w:rFonts w:ascii="OTNEJMScalaSansLF" w:hAnsi="OTNEJMScalaSansLF" w:eastAsia="Times New Roman"/>
                <w:kern w:val="0"/>
                <w:sz w:val="16"/>
                <w:szCs w:val="16"/>
              </w:rPr>
              <w:t>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7.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(3.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, 15.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2.5 (14.9, 137.2)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.002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Immunoglobulin</w:t>
            </w:r>
            <w:r>
              <w:rPr>
                <w:rFonts w:ascii="OTNEJMScalaSansLF" w:hAnsi="OTNEJMScalaSansLF" w:eastAsia="Times New Roman"/>
                <w:kern w:val="0"/>
                <w:sz w:val="16"/>
                <w:szCs w:val="16"/>
              </w:rPr>
              <w:t>‡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Ig G (g/L)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8.7 (17.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, 34.0)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7.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(13.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, 25.8)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.026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Ig A (g/L)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(0.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,1.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(0.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,2.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.400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Ig M (g/L)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(1.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, 2.8)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(1.5,2.9)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.880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T cell count</w:t>
            </w:r>
            <w:r>
              <w:rPr>
                <w:rFonts w:ascii="OTNEJMScalaSansLF" w:hAnsi="OTNEJMScalaSansLF" w:eastAsia="Times New Roman"/>
                <w:kern w:val="0"/>
                <w:sz w:val="16"/>
                <w:szCs w:val="16"/>
              </w:rPr>
              <w:t>§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CD3+ T cell count (cells/</w:t>
            </w:r>
            <w:r>
              <w:rPr>
                <w:rFonts w:ascii="宋体" w:hAnsi="宋体" w:eastAsia="Times New Roman"/>
                <w:kern w:val="0"/>
                <w:sz w:val="18"/>
                <w:szCs w:val="18"/>
              </w:rPr>
              <w:t>µ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l)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425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.0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(109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.1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, 1945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.0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30.5 (355.5,1302.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.011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CD4+ T cell count (cells/</w:t>
            </w:r>
            <w:r>
              <w:rPr>
                <w:rFonts w:ascii="宋体" w:hAnsi="宋体" w:eastAsia="Times New Roman"/>
                <w:kern w:val="0"/>
                <w:sz w:val="18"/>
                <w:szCs w:val="18"/>
              </w:rPr>
              <w:t>µ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l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.0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(419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.0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, 965.5)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33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.0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(111.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,844.5)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.247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CD8+ T cell count (cells/</w:t>
            </w:r>
            <w:r>
              <w:rPr>
                <w:rFonts w:ascii="宋体" w:hAnsi="宋体" w:eastAsia="Times New Roman"/>
                <w:kern w:val="0"/>
                <w:sz w:val="18"/>
                <w:szCs w:val="18"/>
              </w:rPr>
              <w:t>µ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l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31.0 (499.0, 1132.0)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33.5 (151.0, 467.0)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＜0.001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hint="eastAsia"/>
        </w:rPr>
        <w:t>*</w:t>
      </w:r>
      <w:r>
        <w:rPr>
          <w:rFonts w:ascii="Times New Roman" w:hAnsi="Times New Roman"/>
        </w:rPr>
        <w:t xml:space="preserve">Erythrocyte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 xml:space="preserve">edimentation </w:t>
      </w:r>
      <w:r>
        <w:rPr>
          <w:rFonts w:hint="eastAsia" w:ascii="Times New Roman" w:hAnsi="Times New Roman"/>
        </w:rPr>
        <w:t>r</w:t>
      </w:r>
      <w:r>
        <w:rPr>
          <w:rFonts w:ascii="Times New Roman" w:hAnsi="Times New Roman"/>
        </w:rPr>
        <w:t xml:space="preserve">ate data were missing for 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 xml:space="preserve"> patients (19%).</w:t>
      </w:r>
    </w:p>
    <w:p>
      <w:pPr>
        <w:rPr>
          <w:rFonts w:ascii="Times New Roman" w:hAnsi="Times New Roman"/>
        </w:rPr>
      </w:pPr>
      <w:r>
        <w:rPr>
          <w:rFonts w:ascii="OTNEJMScalaSansLF" w:hAnsi="OTNEJMScalaSansLF"/>
          <w:sz w:val="16"/>
          <w:szCs w:val="16"/>
        </w:rPr>
        <w:t>†</w:t>
      </w:r>
      <w:r>
        <w:rPr>
          <w:rFonts w:hint="eastAsia" w:ascii="Times New Roman" w:hAnsi="Times New Roman"/>
        </w:rPr>
        <w:t>C-reactive protein</w:t>
      </w:r>
      <w:r>
        <w:rPr>
          <w:rFonts w:ascii="Times New Roman" w:hAnsi="Times New Roman"/>
        </w:rPr>
        <w:t xml:space="preserve"> data were missing for </w:t>
      </w:r>
      <w:r>
        <w:rPr>
          <w:rFonts w:hint="eastAsia" w:ascii="Times New Roman" w:hAnsi="Times New Roman"/>
        </w:rPr>
        <w:t xml:space="preserve">12 </w:t>
      </w:r>
      <w:r>
        <w:rPr>
          <w:rFonts w:ascii="Times New Roman" w:hAnsi="Times New Roman"/>
        </w:rPr>
        <w:t>patients</w:t>
      </w:r>
      <w:r>
        <w:rPr>
          <w:rFonts w:hint="eastAsia" w:ascii="Times New Roman" w:hAnsi="Times New Roman"/>
        </w:rPr>
        <w:t xml:space="preserve"> (28.5%)</w:t>
      </w:r>
      <w:r>
        <w:rPr>
          <w:rFonts w:ascii="Times New Roman" w:hAnsi="Times New Roman"/>
        </w:rPr>
        <w:t>.</w:t>
      </w:r>
    </w:p>
    <w:p>
      <w:pPr>
        <w:rPr>
          <w:rFonts w:ascii="Times New Roman" w:hAnsi="Times New Roman"/>
        </w:rPr>
      </w:pPr>
      <w:r>
        <w:rPr>
          <w:rFonts w:ascii="OTNEJMScalaSansLF" w:hAnsi="OTNEJMScalaSansLF"/>
          <w:sz w:val="16"/>
          <w:szCs w:val="16"/>
        </w:rPr>
        <w:t>‡</w:t>
      </w:r>
      <w:r>
        <w:rPr>
          <w:rFonts w:ascii="Times New Roman" w:hAnsi="Times New Roman"/>
        </w:rPr>
        <w:t>Immunoglobulin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data were missing for </w:t>
      </w:r>
      <w:r>
        <w:rPr>
          <w:rFonts w:hint="eastAsia" w:ascii="Times New Roman" w:hAnsi="Times New Roman"/>
        </w:rPr>
        <w:t xml:space="preserve">10 </w:t>
      </w:r>
      <w:r>
        <w:rPr>
          <w:rFonts w:ascii="Times New Roman" w:hAnsi="Times New Roman"/>
        </w:rPr>
        <w:t>patients</w:t>
      </w:r>
      <w:r>
        <w:rPr>
          <w:rFonts w:hint="eastAsia" w:ascii="Times New Roman" w:hAnsi="Times New Roman"/>
        </w:rPr>
        <w:t xml:space="preserve"> (23.8%)</w:t>
      </w:r>
      <w:r>
        <w:rPr>
          <w:rFonts w:ascii="Times New Roman" w:hAnsi="Times New Roman"/>
        </w:rPr>
        <w:t>.</w:t>
      </w:r>
    </w:p>
    <w:p>
      <w:pPr>
        <w:rPr>
          <w:rFonts w:ascii="Times New Roman" w:hAnsi="Times New Roman"/>
        </w:rPr>
      </w:pPr>
      <w:r>
        <w:rPr>
          <w:rFonts w:ascii="OTNEJMScalaSansLF" w:hAnsi="OTNEJMScalaSansLF"/>
          <w:sz w:val="16"/>
          <w:szCs w:val="16"/>
        </w:rPr>
        <w:t>§</w:t>
      </w:r>
      <w:r>
        <w:rPr>
          <w:rFonts w:ascii="Times New Roman" w:hAnsi="Times New Roman"/>
        </w:rPr>
        <w:t>T cell count data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were missing for 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7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patients</w:t>
      </w:r>
      <w:r>
        <w:rPr>
          <w:rFonts w:hint="eastAsia" w:ascii="Times New Roman" w:hAnsi="Times New Roman"/>
        </w:rPr>
        <w:t xml:space="preserve"> (</w:t>
      </w:r>
      <w:r>
        <w:rPr>
          <w:rFonts w:ascii="Times New Roman" w:hAnsi="Times New Roman"/>
        </w:rPr>
        <w:t>40.5</w:t>
      </w:r>
      <w:r>
        <w:rPr>
          <w:rFonts w:hint="eastAsia" w:ascii="Times New Roman" w:hAnsi="Times New Roman"/>
        </w:rPr>
        <w:t>%)</w:t>
      </w:r>
      <w:r>
        <w:rPr>
          <w:rFonts w:ascii="Times New Roman" w:hAnsi="Times New Roman"/>
        </w:rPr>
        <w:t>.</w:t>
      </w:r>
    </w:p>
    <w:p>
      <w:pPr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G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>roup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 xml:space="preserve">1P= </w:t>
      </w:r>
      <w:r>
        <w:rPr>
          <w:rFonts w:hint="eastAsia" w:ascii="Times New Roman" w:hAnsi="Times New Roman"/>
          <w:color w:val="000000"/>
          <w:sz w:val="22"/>
        </w:rPr>
        <w:t>anti-IFN-</w:t>
      </w:r>
      <w:r>
        <w:rPr>
          <w:rFonts w:ascii="Times New Roman" w:hAnsi="Times New Roman" w:eastAsia="等线 Light"/>
          <w:color w:val="000000"/>
          <w:sz w:val="22"/>
        </w:rPr>
        <w:t>γ</w:t>
      </w:r>
      <w:r>
        <w:rPr>
          <w:rFonts w:hint="eastAsia"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autoantibody-</w:t>
      </w:r>
      <w:r>
        <w:rPr>
          <w:rFonts w:hint="eastAsia" w:ascii="Times New Roman" w:hAnsi="Times New Roman"/>
          <w:color w:val="000000"/>
          <w:sz w:val="22"/>
        </w:rPr>
        <w:t>positive group</w:t>
      </w:r>
    </w:p>
    <w:p>
      <w:pPr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G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>roup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hint="eastAsia" w:ascii="Times New Roman" w:hAnsi="Times New Roman"/>
          <w:b/>
          <w:bCs/>
          <w:color w:val="000000"/>
          <w:sz w:val="22"/>
          <w:szCs w:val="22"/>
        </w:rPr>
        <w:t xml:space="preserve">1N= </w:t>
      </w:r>
      <w:r>
        <w:rPr>
          <w:rFonts w:hint="eastAsia" w:ascii="Times New Roman" w:hAnsi="Times New Roman"/>
          <w:color w:val="000000"/>
          <w:sz w:val="22"/>
        </w:rPr>
        <w:t>anti-IFN-</w:t>
      </w:r>
      <w:r>
        <w:rPr>
          <w:rFonts w:ascii="Times New Roman" w:hAnsi="Times New Roman" w:eastAsia="等线 Light"/>
          <w:color w:val="000000"/>
          <w:sz w:val="22"/>
        </w:rPr>
        <w:t>γ</w:t>
      </w:r>
      <w:r>
        <w:rPr>
          <w:rFonts w:hint="eastAsia"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autoantibody-</w:t>
      </w:r>
      <w:r>
        <w:rPr>
          <w:rFonts w:hint="eastAsia" w:ascii="Times New Roman" w:hAnsi="Times New Roman"/>
          <w:color w:val="000000"/>
          <w:sz w:val="22"/>
        </w:rPr>
        <w:t>negative group</w:t>
      </w:r>
    </w:p>
    <w:p>
      <w:pPr>
        <w:rPr>
          <w:rFonts w:ascii="Times New Roman" w:hAnsi="Times New Roman"/>
        </w:rPr>
      </w:pPr>
    </w:p>
    <w:p>
      <w:pPr>
        <w:jc w:val="left"/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kern w:val="0"/>
          <w:sz w:val="22"/>
          <w:szCs w:val="22"/>
        </w:rPr>
        <w:t>T</w:t>
      </w:r>
      <w:r>
        <w:rPr>
          <w:rFonts w:hint="eastAsia" w:ascii="Times New Roman" w:hAnsi="Times New Roman"/>
          <w:b/>
          <w:bCs/>
          <w:kern w:val="0"/>
          <w:sz w:val="22"/>
          <w:szCs w:val="22"/>
        </w:rPr>
        <w:t>able</w:t>
      </w:r>
      <w:r>
        <w:rPr>
          <w:rFonts w:ascii="Times New Roman" w:hAnsi="Times New Roman"/>
          <w:b/>
          <w:bCs/>
          <w:kern w:val="0"/>
          <w:sz w:val="22"/>
          <w:szCs w:val="22"/>
        </w:rPr>
        <w:t xml:space="preserve"> </w:t>
      </w:r>
      <w:r>
        <w:rPr>
          <w:rFonts w:hint="eastAsia" w:ascii="Times New Roman" w:hAnsi="Times New Roman"/>
          <w:b/>
          <w:bCs/>
          <w:kern w:val="0"/>
          <w:sz w:val="22"/>
          <w:szCs w:val="22"/>
          <w:lang w:val="en-US" w:eastAsia="zh-CN"/>
        </w:rPr>
        <w:t>4</w:t>
      </w:r>
      <w:r>
        <w:rPr>
          <w:rFonts w:ascii="Times New Roman" w:hAnsi="Times New Roman"/>
          <w:b/>
          <w:bCs/>
          <w:kern w:val="0"/>
          <w:sz w:val="22"/>
          <w:szCs w:val="22"/>
        </w:rPr>
        <w:t>. Multivariate logistic regression analysis of factors associated with the appearance of anti-IFN-</w:t>
      </w:r>
      <w:r>
        <w:rPr>
          <w:rFonts w:hint="eastAsia" w:ascii="Times New Roman" w:hAnsi="Times New Roman"/>
          <w:b/>
          <w:bCs/>
          <w:kern w:val="0"/>
          <w:sz w:val="22"/>
          <w:szCs w:val="22"/>
        </w:rPr>
        <w:t xml:space="preserve">γ </w:t>
      </w:r>
      <w:r>
        <w:rPr>
          <w:rFonts w:ascii="Times New Roman" w:hAnsi="Times New Roman"/>
          <w:b/>
          <w:bCs/>
          <w:kern w:val="0"/>
          <w:sz w:val="22"/>
          <w:szCs w:val="22"/>
        </w:rPr>
        <w:t>autoantibody</w:t>
      </w:r>
      <w:r>
        <w:rPr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kern w:val="0"/>
          <w:sz w:val="22"/>
          <w:szCs w:val="22"/>
        </w:rPr>
        <w:t>positivity</w:t>
      </w:r>
    </w:p>
    <w:tbl>
      <w:tblPr>
        <w:tblStyle w:val="4"/>
        <w:tblW w:w="0" w:type="auto"/>
        <w:tblInd w:w="-7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1944"/>
        <w:gridCol w:w="862"/>
        <w:gridCol w:w="2225"/>
        <w:gridCol w:w="76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Univariable OR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(95% CI)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/>
                <w:i/>
                <w:iCs/>
                <w:kern w:val="0"/>
                <w:sz w:val="18"/>
                <w:szCs w:val="18"/>
              </w:rPr>
              <w:t>P value</w:t>
            </w:r>
          </w:p>
        </w:tc>
        <w:tc>
          <w:tcPr>
            <w:tcW w:w="222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Multivariable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/>
                <w:i/>
                <w:iCs/>
                <w:kern w:val="0"/>
                <w:sz w:val="18"/>
                <w:szCs w:val="18"/>
              </w:rPr>
              <w:t>P value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White-cell count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(*10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cells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/L)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1.134 (1.007,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1.277)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0.038</w:t>
            </w:r>
          </w:p>
        </w:tc>
        <w:tc>
          <w:tcPr>
            <w:tcW w:w="2225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.035 (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.906, 1.183)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.610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Hemoglobin (g/L)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0.973 (0.947,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1.001)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0.057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.985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 xml:space="preserve"> (0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.948, 1.024)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.454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bookmarkStart w:id="7" w:name="_Hlk56462023"/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Coexisting r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espiratory disease</w:t>
            </w:r>
            <w:bookmarkEnd w:id="7"/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0.158 (0.035, 0.708)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0.016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0.094 (0.011, 0.809)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0.031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bookmarkStart w:id="8" w:name="_Hlk56462074"/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Pleural effusion</w:t>
            </w:r>
            <w:bookmarkEnd w:id="8"/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8.185 (1.839, 36.424)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0.006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11.162 (1.517, 82.164)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kern w:val="0"/>
                <w:sz w:val="18"/>
                <w:szCs w:val="18"/>
              </w:rPr>
              <w:t>0.018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Extrapulmonary o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rgan involvement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3.682 (0.911,</w:t>
            </w: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14.876)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/>
                <w:kern w:val="0"/>
                <w:sz w:val="18"/>
                <w:szCs w:val="18"/>
              </w:rPr>
              <w:t>0.067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0.469 (0.046, 4.834)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Cs w:val="18"/>
              </w:rPr>
              <w:t>0.525</w:t>
            </w:r>
          </w:p>
        </w:tc>
      </w:tr>
    </w:tbl>
    <w:p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OR= odds </w:t>
      </w:r>
      <w:r>
        <w:rPr>
          <w:rFonts w:hint="eastAsia" w:ascii="Times New Roman" w:hAnsi="Times New Roman"/>
        </w:rPr>
        <w:t>ratio,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CI=confidence</w:t>
      </w:r>
      <w:r>
        <w:rPr>
          <w:rFonts w:ascii="Times New Roman" w:hAnsi="Times New Roman"/>
        </w:rPr>
        <w:t xml:space="preserve"> interval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OTNEJMScalaSansL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F5"/>
    <w:rsid w:val="0008183E"/>
    <w:rsid w:val="001B4C14"/>
    <w:rsid w:val="00270617"/>
    <w:rsid w:val="002A7EF5"/>
    <w:rsid w:val="003F35A3"/>
    <w:rsid w:val="006227FC"/>
    <w:rsid w:val="00653B54"/>
    <w:rsid w:val="007B1B83"/>
    <w:rsid w:val="00B96148"/>
    <w:rsid w:val="00CB01CF"/>
    <w:rsid w:val="00D02051"/>
    <w:rsid w:val="00F82ECC"/>
    <w:rsid w:val="02260C4F"/>
    <w:rsid w:val="04086009"/>
    <w:rsid w:val="05D870CE"/>
    <w:rsid w:val="068D1985"/>
    <w:rsid w:val="070D153F"/>
    <w:rsid w:val="0B273F68"/>
    <w:rsid w:val="0EAD7BB2"/>
    <w:rsid w:val="1007174C"/>
    <w:rsid w:val="10AE29F5"/>
    <w:rsid w:val="12027946"/>
    <w:rsid w:val="141E552A"/>
    <w:rsid w:val="14287B0D"/>
    <w:rsid w:val="18AC2AE1"/>
    <w:rsid w:val="18E371EF"/>
    <w:rsid w:val="18FA798B"/>
    <w:rsid w:val="1ED61DEE"/>
    <w:rsid w:val="220C5A40"/>
    <w:rsid w:val="22117B0B"/>
    <w:rsid w:val="22FA6EF0"/>
    <w:rsid w:val="280D43D3"/>
    <w:rsid w:val="2CBE4FCA"/>
    <w:rsid w:val="2D7B3D44"/>
    <w:rsid w:val="2ED4269F"/>
    <w:rsid w:val="2F2D55D0"/>
    <w:rsid w:val="2FD80B7C"/>
    <w:rsid w:val="30B80256"/>
    <w:rsid w:val="31886155"/>
    <w:rsid w:val="321E39F6"/>
    <w:rsid w:val="337E36A1"/>
    <w:rsid w:val="34487EEB"/>
    <w:rsid w:val="36157F22"/>
    <w:rsid w:val="380C3A73"/>
    <w:rsid w:val="39226908"/>
    <w:rsid w:val="3AB00BB7"/>
    <w:rsid w:val="3CB56F1C"/>
    <w:rsid w:val="3FAB5C75"/>
    <w:rsid w:val="41D32BB7"/>
    <w:rsid w:val="433A3A9F"/>
    <w:rsid w:val="49EF48A0"/>
    <w:rsid w:val="4A543245"/>
    <w:rsid w:val="4A827DF1"/>
    <w:rsid w:val="4B0C1CBB"/>
    <w:rsid w:val="4B145B81"/>
    <w:rsid w:val="4C6C154C"/>
    <w:rsid w:val="4C8B1AE7"/>
    <w:rsid w:val="4D4E3CDF"/>
    <w:rsid w:val="4F7B7E7C"/>
    <w:rsid w:val="51E706D7"/>
    <w:rsid w:val="522403DF"/>
    <w:rsid w:val="55097413"/>
    <w:rsid w:val="56AF0772"/>
    <w:rsid w:val="56E2663B"/>
    <w:rsid w:val="58571751"/>
    <w:rsid w:val="5CB639C3"/>
    <w:rsid w:val="5F1F0D78"/>
    <w:rsid w:val="6090559C"/>
    <w:rsid w:val="61321251"/>
    <w:rsid w:val="62147F7B"/>
    <w:rsid w:val="64783BA3"/>
    <w:rsid w:val="64E77505"/>
    <w:rsid w:val="67842539"/>
    <w:rsid w:val="67A777F9"/>
    <w:rsid w:val="67B35780"/>
    <w:rsid w:val="693E7262"/>
    <w:rsid w:val="701B3870"/>
    <w:rsid w:val="743B64C7"/>
    <w:rsid w:val="74AC4F44"/>
    <w:rsid w:val="74EE6F31"/>
    <w:rsid w:val="75193965"/>
    <w:rsid w:val="7563031C"/>
    <w:rsid w:val="773F691B"/>
    <w:rsid w:val="77AB6F81"/>
    <w:rsid w:val="7837415E"/>
    <w:rsid w:val="791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table" w:customStyle="1" w:styleId="8">
    <w:name w:val="网格型1"/>
    <w:basedOn w:val="3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网格型2"/>
    <w:basedOn w:val="3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613</Words>
  <Characters>3495</Characters>
  <Lines>29</Lines>
  <Paragraphs>8</Paragraphs>
  <TotalTime>1</TotalTime>
  <ScaleCrop>false</ScaleCrop>
  <LinksUpToDate>false</LinksUpToDate>
  <CharactersWithSpaces>4100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2021-03-18T12:39:00Z</dcterms:created>
  <dc:creator>chen zhaoming</dc:creator>
  <cp:lastModifiedBy>陈钊铭</cp:lastModifiedBy>
  <dcterms:modified xsi:type="dcterms:W3CDTF">2021-05-05T08:13:21Z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5659F75CE0294D77BFCFECF132543979</vt:lpwstr>
  </property>
</Properties>
</file>