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EB7A9" w14:textId="77777777" w:rsidR="00304794" w:rsidRDefault="00304794" w:rsidP="00304794">
      <w:pPr>
        <w:widowControl w:val="0"/>
        <w:spacing w:before="9" w:line="244" w:lineRule="auto"/>
        <w:ind w:left="-1" w:right="31"/>
        <w:rPr>
          <w:rFonts w:ascii="Calibri" w:eastAsia="Calibri" w:hAnsi="Calibri" w:cs="Calibri"/>
          <w:b/>
          <w:sz w:val="24"/>
          <w:szCs w:val="24"/>
        </w:rPr>
      </w:pPr>
    </w:p>
    <w:p w14:paraId="6888A323" w14:textId="77777777" w:rsidR="00304794" w:rsidRDefault="00304794" w:rsidP="00304794">
      <w:pPr>
        <w:widowControl w:val="0"/>
        <w:spacing w:before="9" w:line="244" w:lineRule="auto"/>
        <w:ind w:right="31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Appendix A1</w:t>
      </w:r>
    </w:p>
    <w:p w14:paraId="5CE76043" w14:textId="77777777" w:rsidR="00304794" w:rsidRDefault="00304794" w:rsidP="00304794">
      <w:pPr>
        <w:widowControl w:val="0"/>
        <w:spacing w:line="243" w:lineRule="auto"/>
        <w:ind w:left="16" w:right="336" w:hanging="15"/>
        <w:rPr>
          <w:rFonts w:ascii="Calibri" w:eastAsia="Calibri" w:hAnsi="Calibri" w:cs="Calibri"/>
          <w:sz w:val="20"/>
          <w:szCs w:val="20"/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 xml:space="preserve">Raman Spectra: Transcutaneous, Non-invasive (Finger) </w:t>
      </w:r>
    </w:p>
    <w:p w14:paraId="3364CF6B" w14:textId="77777777" w:rsidR="00304794" w:rsidRDefault="00304794" w:rsidP="00304794">
      <w:pPr>
        <w:widowControl w:val="0"/>
        <w:spacing w:line="243" w:lineRule="auto"/>
        <w:ind w:left="16" w:right="336" w:hanging="15"/>
        <w:rPr>
          <w:rFonts w:ascii="Calibri" w:eastAsia="Calibri" w:hAnsi="Calibri" w:cs="Calibri"/>
          <w:sz w:val="20"/>
          <w:szCs w:val="20"/>
        </w:rPr>
      </w:pPr>
    </w:p>
    <w:p w14:paraId="3D7616FC" w14:textId="77777777" w:rsidR="00304794" w:rsidRDefault="00304794" w:rsidP="00304794">
      <w:p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Same patient tested using different fingers:</w:t>
      </w:r>
      <w:r>
        <w:rPr>
          <w:rFonts w:ascii="Calibri" w:eastAsia="Calibri" w:hAnsi="Calibri" w:cs="Calibri"/>
        </w:rPr>
        <w:t xml:space="preserve"> </w:t>
      </w:r>
    </w:p>
    <w:p w14:paraId="765C9696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B77AF65" wp14:editId="1803A151">
            <wp:extent cx="5943600" cy="1677035"/>
            <wp:effectExtent l="0" t="0" r="0" b="0"/>
            <wp:docPr id="20" name="image12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 descr="A screen shot of a graph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70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09FEEA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6F852BC0" w14:textId="77777777" w:rsidR="00304794" w:rsidRDefault="00304794" w:rsidP="00304794">
      <w:pPr>
        <w:widowControl w:val="0"/>
        <w:spacing w:before="5" w:line="240" w:lineRule="auto"/>
        <w:ind w:left="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Negative Spectrum: Processed (Raman) </w:t>
      </w:r>
    </w:p>
    <w:p w14:paraId="62EC4F4C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DAABA70" wp14:editId="5E506B48">
            <wp:extent cx="5943600" cy="1632585"/>
            <wp:effectExtent l="0" t="0" r="0" b="0"/>
            <wp:docPr id="31" name="image24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4.png" descr="A screen shot of a graph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25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AAFBD7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208C29CB" w14:textId="77777777" w:rsidR="00304794" w:rsidRDefault="00304794" w:rsidP="00304794">
      <w:pPr>
        <w:widowControl w:val="0"/>
        <w:spacing w:before="10" w:line="240" w:lineRule="auto"/>
        <w:ind w:left="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Negative Spectrum: Raw (includes fluorescence and background signals) </w:t>
      </w:r>
    </w:p>
    <w:p w14:paraId="3C2C1D8C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C4297AE" wp14:editId="4E30853E">
            <wp:extent cx="5943600" cy="1657985"/>
            <wp:effectExtent l="0" t="0" r="0" b="0"/>
            <wp:docPr id="1" name="image6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6.png" descr="A screen shot of a graph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79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7664AC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7000C1AB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6812BD3F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31F30B1B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53FDCFE4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4B1D49CD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3DA50D7F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00039AAE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2551BB03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4B80259A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0E2F5F80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4A6F6580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2E95BB97" w14:textId="77777777" w:rsidR="00304794" w:rsidRDefault="00304794" w:rsidP="00304794">
      <w:pPr>
        <w:widowControl w:val="0"/>
        <w:spacing w:before="9" w:line="240" w:lineRule="auto"/>
        <w:rPr>
          <w:rFonts w:ascii="Calibri" w:eastAsia="Calibri" w:hAnsi="Calibri" w:cs="Calibri"/>
          <w:sz w:val="18"/>
          <w:szCs w:val="18"/>
        </w:rPr>
      </w:pPr>
    </w:p>
    <w:p w14:paraId="414A4C66" w14:textId="77777777" w:rsidR="00304794" w:rsidRDefault="00304794" w:rsidP="00304794">
      <w:pPr>
        <w:widowControl w:val="0"/>
        <w:spacing w:before="9" w:line="240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Negative Spectrum: Processed </w:t>
      </w:r>
    </w:p>
    <w:p w14:paraId="5A61B5E7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5ADE3A9" wp14:editId="36747E6E">
            <wp:extent cx="5943600" cy="1645920"/>
            <wp:effectExtent l="0" t="0" r="0" b="0"/>
            <wp:docPr id="4" name="image11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 descr="A screen shot of a graph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59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8C3861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2B5BDCCC" w14:textId="77777777" w:rsidR="00304794" w:rsidRDefault="00304794" w:rsidP="00304794">
      <w:pPr>
        <w:widowControl w:val="0"/>
        <w:spacing w:before="5" w:line="240" w:lineRule="auto"/>
        <w:ind w:left="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Negative Spectrum: Raw </w:t>
      </w:r>
    </w:p>
    <w:p w14:paraId="7E3245D0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0DE12B8" wp14:editId="2E2312CF">
            <wp:extent cx="5943600" cy="1629410"/>
            <wp:effectExtent l="0" t="0" r="0" b="0"/>
            <wp:docPr id="21" name="image15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 descr="A screen shot of a graph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9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AD363E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3506E821" w14:textId="77777777" w:rsidR="00304794" w:rsidRDefault="00304794" w:rsidP="00304794">
      <w:pPr>
        <w:widowControl w:val="0"/>
        <w:spacing w:before="10" w:line="240" w:lineRule="auto"/>
        <w:ind w:left="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Positive Spectrum: Processed </w:t>
      </w:r>
    </w:p>
    <w:p w14:paraId="6503FA46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902E38E" wp14:editId="129568AB">
            <wp:extent cx="5943600" cy="1668780"/>
            <wp:effectExtent l="0" t="0" r="0" b="0"/>
            <wp:docPr id="2" name="image5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png" descr="A screen shot of a graph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8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A549C9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340C959D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61D46998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2CE3E9F3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3E92E12D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23D54348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4782E305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034C03B2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16368514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449C19B3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3392B2CF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1DE26D51" w14:textId="77777777" w:rsidR="00304794" w:rsidRDefault="00304794" w:rsidP="00304794">
      <w:pPr>
        <w:widowControl w:val="0"/>
        <w:spacing w:before="9" w:line="240" w:lineRule="auto"/>
        <w:rPr>
          <w:rFonts w:ascii="Calibri" w:eastAsia="Calibri" w:hAnsi="Calibri" w:cs="Calibri"/>
          <w:sz w:val="18"/>
          <w:szCs w:val="18"/>
        </w:rPr>
      </w:pPr>
    </w:p>
    <w:p w14:paraId="12888629" w14:textId="77777777" w:rsidR="00304794" w:rsidRDefault="00304794" w:rsidP="00304794">
      <w:pPr>
        <w:widowControl w:val="0"/>
        <w:spacing w:before="9" w:line="240" w:lineRule="auto"/>
        <w:rPr>
          <w:rFonts w:ascii="Calibri" w:eastAsia="Calibri" w:hAnsi="Calibri" w:cs="Calibri"/>
          <w:sz w:val="18"/>
          <w:szCs w:val="18"/>
        </w:rPr>
      </w:pPr>
    </w:p>
    <w:p w14:paraId="1A8F7C2F" w14:textId="77777777" w:rsidR="00304794" w:rsidRDefault="00304794" w:rsidP="00304794">
      <w:pPr>
        <w:widowControl w:val="0"/>
        <w:spacing w:before="9" w:line="240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Positive Spectrum: Raw </w:t>
      </w:r>
    </w:p>
    <w:p w14:paraId="0D9BCDC6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2D31EF56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6FB777E0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6ACB4DAE" wp14:editId="08DD16F4">
            <wp:extent cx="5943600" cy="1658620"/>
            <wp:effectExtent l="0" t="0" r="0" b="0"/>
            <wp:docPr id="24" name="image19.png" descr="A graph on a computer scree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9.png" descr="A graph on a computer screen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86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7ED112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582793C0" w14:textId="77777777" w:rsidR="00304794" w:rsidRDefault="00304794" w:rsidP="00304794">
      <w:pPr>
        <w:widowControl w:val="0"/>
        <w:spacing w:before="6" w:line="240" w:lineRule="auto"/>
        <w:ind w:left="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Positive Spectrum: Processed </w:t>
      </w:r>
    </w:p>
    <w:p w14:paraId="015C2277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2606F962" wp14:editId="24C65646">
            <wp:extent cx="5943600" cy="1656715"/>
            <wp:effectExtent l="0" t="0" r="0" b="0"/>
            <wp:docPr id="17" name="image2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 descr="A screen shot of a graph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67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A2F06B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73EE13C2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Positive Spectrum: Raw </w:t>
      </w:r>
    </w:p>
    <w:p w14:paraId="0F78EB72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EE91315" wp14:editId="67E887C8">
            <wp:extent cx="5943600" cy="1650365"/>
            <wp:effectExtent l="0" t="0" r="0" b="0"/>
            <wp:docPr id="25" name="image16.png" descr="A graph showing a los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 descr="A graph showing a loss&#10;&#10;Description automatically generated with medium confidence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03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ED3288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22B85523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14A6EF5E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63399FD8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34B6123D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47E66FCC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6E5BC371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5165BA30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46A4B242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37575A41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2D2E4602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63407EC2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3C4BD5FB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</w:p>
    <w:p w14:paraId="445CE18A" w14:textId="77777777" w:rsidR="00304794" w:rsidRDefault="00304794" w:rsidP="00304794">
      <w:pPr>
        <w:widowControl w:val="0"/>
        <w:spacing w:before="9" w:line="240" w:lineRule="auto"/>
        <w:ind w:left="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Negative Spectra from 4 patients: </w:t>
      </w:r>
    </w:p>
    <w:p w14:paraId="3A453F6E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03DDE622" wp14:editId="5EADE104">
            <wp:extent cx="5943600" cy="1629410"/>
            <wp:effectExtent l="0" t="0" r="0" b="0"/>
            <wp:docPr id="18" name="image4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4.png" descr="A screen shot of a graph&#10;&#10;Description automatically generated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9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9F1FB4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2C8FED78" w14:textId="77777777" w:rsidR="00304794" w:rsidRDefault="00304794" w:rsidP="00304794">
      <w:pPr>
        <w:widowControl w:val="0"/>
        <w:spacing w:before="5" w:line="240" w:lineRule="auto"/>
        <w:ind w:left="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COVID-19 Positive Spectra from 3 patients: </w:t>
      </w:r>
    </w:p>
    <w:p w14:paraId="2895ED76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ADE2AEA" wp14:editId="4F9E3CBB">
            <wp:extent cx="5943600" cy="1636395"/>
            <wp:effectExtent l="0" t="0" r="0" b="0"/>
            <wp:docPr id="22" name="image21.png" descr="A graph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1.png" descr="A graph of a graph&#10;&#10;Description automatically generated with medium confidence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63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C38BAE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5AD25472" w14:textId="77777777" w:rsidR="00304794" w:rsidRDefault="00304794" w:rsidP="00304794">
      <w:pPr>
        <w:widowControl w:val="0"/>
        <w:spacing w:before="9" w:line="238" w:lineRule="auto"/>
        <w:ind w:left="19" w:right="2326" w:hanging="1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18"/>
          <w:szCs w:val="18"/>
        </w:rPr>
        <w:t xml:space="preserve">COVID-19 Spectra Positive and Negative Overlap: Pos(yellow and red) and Neg(green and purple) </w:t>
      </w:r>
    </w:p>
    <w:p w14:paraId="51FE8922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7FC7DF4" wp14:editId="048CA974">
            <wp:extent cx="5943600" cy="1673225"/>
            <wp:effectExtent l="0" t="0" r="0" b="0"/>
            <wp:docPr id="6" name="image8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.png" descr="A screen shot of a graph&#10;&#10;Description automatically generated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3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DFB086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1C83CFFC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07CEBF15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21853583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0E62B4DD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7BC146B1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40C1EE49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6ADF3544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100B6E3D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2190C971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4A8CBF21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148D2EFB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07500C6F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</w:p>
    <w:p w14:paraId="24F9A91C" w14:textId="77777777" w:rsidR="00304794" w:rsidRDefault="00304794" w:rsidP="00304794">
      <w:pPr>
        <w:widowControl w:val="0"/>
        <w:spacing w:before="9" w:line="244" w:lineRule="auto"/>
        <w:ind w:right="31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Appendix A2</w:t>
      </w:r>
    </w:p>
    <w:p w14:paraId="18D96626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Blood Glucose Raman Signal with No Specimen at 800 cm-1 and 1100 cm-1</w:t>
      </w:r>
    </w:p>
    <w:p w14:paraId="67308483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114300" distB="114300" distL="114300" distR="114300" wp14:anchorId="388E5FC9" wp14:editId="03A1A7E8">
            <wp:extent cx="5943600" cy="1701800"/>
            <wp:effectExtent l="0" t="0" r="0" b="0"/>
            <wp:docPr id="32" name="image17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7.png" descr="A screen shot of a graph&#10;&#10;Description automatically generated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B588515" w14:textId="77777777" w:rsidR="00304794" w:rsidRDefault="00304794" w:rsidP="0030479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114300" distB="114300" distL="114300" distR="114300" wp14:anchorId="3D8E6F3A" wp14:editId="6BB313FE">
            <wp:extent cx="5943600" cy="1714500"/>
            <wp:effectExtent l="0" t="0" r="0" b="0"/>
            <wp:docPr id="9" name="image1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 descr="A screen shot of a graph&#10;&#10;Description automatically generated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1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F65B43" w14:textId="77777777" w:rsidR="00304794" w:rsidRDefault="00304794" w:rsidP="00304794">
      <w:pPr>
        <w:widowControl w:val="0"/>
        <w:spacing w:before="13" w:line="245" w:lineRule="auto"/>
        <w:ind w:left="8" w:right="566" w:firstLine="9"/>
        <w:rPr>
          <w:rFonts w:ascii="Calibri" w:eastAsia="Calibri" w:hAnsi="Calibri" w:cs="Calibri"/>
          <w:strike/>
        </w:rPr>
      </w:pPr>
    </w:p>
    <w:p w14:paraId="0F17CAA5" w14:textId="77777777" w:rsidR="00304794" w:rsidRDefault="00304794" w:rsidP="00304794">
      <w:pPr>
        <w:widowControl w:val="0"/>
        <w:spacing w:before="13" w:line="245" w:lineRule="auto"/>
        <w:ind w:left="8" w:right="566"/>
        <w:rPr>
          <w:rFonts w:ascii="Calibri" w:eastAsia="Calibri" w:hAnsi="Calibri" w:cs="Calibri"/>
          <w:strike/>
        </w:rPr>
      </w:pPr>
    </w:p>
    <w:p w14:paraId="1EC5E35A" w14:textId="77777777" w:rsidR="00304794" w:rsidRDefault="00304794" w:rsidP="00304794">
      <w:pPr>
        <w:widowControl w:val="0"/>
        <w:spacing w:before="13" w:line="245" w:lineRule="auto"/>
        <w:ind w:right="566"/>
        <w:rPr>
          <w:rFonts w:ascii="Calibri" w:eastAsia="Calibri" w:hAnsi="Calibri" w:cs="Calibri"/>
          <w:strike/>
        </w:rPr>
      </w:pPr>
    </w:p>
    <w:p w14:paraId="28AFAB25" w14:textId="77777777" w:rsidR="00304794" w:rsidRDefault="00304794" w:rsidP="00304794">
      <w:pPr>
        <w:widowControl w:val="0"/>
        <w:spacing w:before="8" w:line="243" w:lineRule="auto"/>
        <w:ind w:left="11" w:right="523" w:hanging="1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noProof/>
          <w:sz w:val="16"/>
          <w:szCs w:val="16"/>
        </w:rPr>
        <w:drawing>
          <wp:inline distT="114300" distB="114300" distL="114300" distR="114300" wp14:anchorId="710DB369" wp14:editId="5012F7A0">
            <wp:extent cx="5943600" cy="1701800"/>
            <wp:effectExtent l="0" t="0" r="0" b="0"/>
            <wp:docPr id="27" name="image14.png" descr="A screen 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 descr="A screen shot of a computer&#10;&#10;Description automatically generated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456DCD" w14:textId="77777777" w:rsidR="00304794" w:rsidRDefault="00304794" w:rsidP="00304794">
      <w:pPr>
        <w:widowControl w:val="0"/>
        <w:spacing w:line="244" w:lineRule="auto"/>
        <w:ind w:left="10" w:right="904" w:firstLine="1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AccuChek 52   Dexcom 67</w:t>
      </w:r>
    </w:p>
    <w:p w14:paraId="609236A0" w14:textId="77777777" w:rsidR="00304794" w:rsidRDefault="00304794" w:rsidP="00304794">
      <w:pPr>
        <w:widowControl w:val="0"/>
        <w:spacing w:line="244" w:lineRule="auto"/>
        <w:ind w:left="10" w:right="904" w:firstLine="1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   </w:t>
      </w:r>
    </w:p>
    <w:p w14:paraId="64467A5B" w14:textId="77777777" w:rsidR="00304794" w:rsidRDefault="00304794" w:rsidP="00304794">
      <w:pPr>
        <w:widowControl w:val="0"/>
        <w:spacing w:line="244" w:lineRule="auto"/>
        <w:ind w:left="10" w:right="904" w:firstLine="1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noProof/>
          <w:sz w:val="26"/>
          <w:szCs w:val="26"/>
        </w:rPr>
        <w:drawing>
          <wp:inline distT="114300" distB="114300" distL="114300" distR="114300" wp14:anchorId="249D730D" wp14:editId="02B294D0">
            <wp:extent cx="5943600" cy="1651000"/>
            <wp:effectExtent l="0" t="0" r="0" b="0"/>
            <wp:docPr id="16" name="image20.png" descr="A screen 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0.png" descr="A screen shot of a computer&#10;&#10;Description automatically generated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6"/>
          <w:szCs w:val="26"/>
        </w:rPr>
        <w:t xml:space="preserve">      </w:t>
      </w:r>
    </w:p>
    <w:p w14:paraId="7ED0D3EA" w14:textId="77777777" w:rsidR="00304794" w:rsidRDefault="00304794" w:rsidP="00304794">
      <w:pPr>
        <w:widowControl w:val="0"/>
        <w:spacing w:line="244" w:lineRule="auto"/>
        <w:ind w:right="904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AccuChek 260    Dexcom 287</w:t>
      </w:r>
    </w:p>
    <w:p w14:paraId="2C5EB690" w14:textId="77777777" w:rsidR="00304794" w:rsidRDefault="00304794" w:rsidP="00304794">
      <w:pPr>
        <w:widowControl w:val="0"/>
        <w:spacing w:line="244" w:lineRule="auto"/>
        <w:ind w:left="10" w:right="904" w:firstLine="10"/>
        <w:jc w:val="both"/>
        <w:rPr>
          <w:rFonts w:ascii="Calibri" w:eastAsia="Calibri" w:hAnsi="Calibri" w:cs="Calibri"/>
          <w:b/>
          <w:sz w:val="26"/>
          <w:szCs w:val="26"/>
        </w:rPr>
      </w:pPr>
    </w:p>
    <w:p w14:paraId="488E8435" w14:textId="77777777" w:rsidR="00304794" w:rsidRDefault="00304794" w:rsidP="00304794">
      <w:pPr>
        <w:widowControl w:val="0"/>
        <w:spacing w:line="244" w:lineRule="auto"/>
        <w:ind w:left="10" w:right="904" w:firstLine="10"/>
        <w:jc w:val="both"/>
        <w:rPr>
          <w:rFonts w:ascii="Calibri" w:eastAsia="Calibri" w:hAnsi="Calibri" w:cs="Calibri"/>
          <w:b/>
          <w:sz w:val="26"/>
          <w:szCs w:val="26"/>
        </w:rPr>
      </w:pPr>
    </w:p>
    <w:p w14:paraId="1E72D38D" w14:textId="77777777" w:rsidR="00304794" w:rsidRDefault="00304794" w:rsidP="00304794">
      <w:pPr>
        <w:widowControl w:val="0"/>
        <w:spacing w:line="244" w:lineRule="auto"/>
        <w:ind w:left="10" w:right="904" w:firstLine="10"/>
        <w:jc w:val="both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                                                          Appendix B</w:t>
      </w:r>
    </w:p>
    <w:p w14:paraId="362A8A16" w14:textId="77777777" w:rsidR="00304794" w:rsidRDefault="00304794" w:rsidP="00304794">
      <w:pPr>
        <w:widowControl w:val="0"/>
        <w:spacing w:line="244" w:lineRule="auto"/>
        <w:ind w:left="10" w:right="904" w:firstLine="10"/>
        <w:jc w:val="both"/>
        <w:rPr>
          <w:rFonts w:ascii="Calibri" w:eastAsia="Calibri" w:hAnsi="Calibri" w:cs="Calibri"/>
          <w:b/>
          <w:sz w:val="26"/>
          <w:szCs w:val="26"/>
        </w:rPr>
      </w:pPr>
    </w:p>
    <w:p w14:paraId="19003ADF" w14:textId="77777777" w:rsidR="00304794" w:rsidRDefault="00304794" w:rsidP="00304794">
      <w:pPr>
        <w:widowControl w:val="0"/>
        <w:spacing w:before="327" w:line="240" w:lineRule="auto"/>
        <w:ind w:left="2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6"/>
          <w:szCs w:val="26"/>
        </w:rPr>
        <w:t>For IL-10, the peaks are found at 852, 1064, 1298 and 1470 cm-1. The peaks at 852 cm-1 might be from proline, hydroxyproline and tyrosine, and 1298  cm-1 is suspected from CH2 deformation modes. The peak at 1470 cm-1 can be  assigned to a C=N stretching bond within the IL-10 protein structure. For IL-10, the SNR  of the highest peak at 1064 cm-1 is 5.02. A single peak at 990 cm-1 is found in IL-21 with a SNR  of 6.10 (1)</w:t>
      </w:r>
      <w:r>
        <w:rPr>
          <w:rFonts w:ascii="Calibri" w:eastAsia="Calibri" w:hAnsi="Calibri" w:cs="Calibri"/>
          <w:sz w:val="24"/>
          <w:szCs w:val="24"/>
        </w:rPr>
        <w:t xml:space="preserve">. </w:t>
      </w:r>
    </w:p>
    <w:p w14:paraId="38DF3E6D" w14:textId="77777777" w:rsidR="00304794" w:rsidRDefault="00304794" w:rsidP="00304794">
      <w:pPr>
        <w:widowControl w:val="0"/>
        <w:spacing w:before="325" w:line="243" w:lineRule="auto"/>
        <w:ind w:left="1" w:right="128" w:hanging="2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The Raman spectrum of IL-6 showing bands at 938, 1261 and 1655 cm-1 due to the C–C  stretching of the backbone structure, amide III and amide I, respectively, correspond to  the typical a-helix secondary structure conformation of IL-6. In addition, conventional  residues of amino acids, such as the band at 708 cm-1, indicate the C–S stretching of  cysteine residues in the IL-6 structure. The conformational structure of IL-6 was  corroborated using Raman spectroscopy (2,3). </w:t>
      </w:r>
    </w:p>
    <w:p w14:paraId="676AA506" w14:textId="77777777" w:rsidR="00304794" w:rsidRDefault="00304794" w:rsidP="00304794">
      <w:pPr>
        <w:widowControl w:val="0"/>
        <w:spacing w:before="328" w:line="242" w:lineRule="auto"/>
        <w:ind w:left="18" w:right="560" w:hanging="17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The Raman spectra for monocyte and lymphocyte subgroups, as well as IL-4, have  been described (4). C-Reactive protein , creatinine and cystatin C as markers of renal function and C-reactive protein (CRP) and interleukin 6 as biomarkers of inflammation have unique Raman signatures (5,6). </w:t>
      </w:r>
    </w:p>
    <w:p w14:paraId="0149D7B0" w14:textId="77777777" w:rsidR="00304794" w:rsidRDefault="00304794" w:rsidP="00304794">
      <w:pPr>
        <w:widowControl w:val="0"/>
        <w:spacing w:before="328" w:line="242" w:lineRule="auto"/>
        <w:ind w:left="18" w:right="560" w:hanging="17"/>
        <w:rPr>
          <w:rFonts w:ascii="Calibri" w:eastAsia="Calibri" w:hAnsi="Calibri" w:cs="Calibri"/>
          <w:b/>
          <w:sz w:val="26"/>
          <w:szCs w:val="26"/>
          <w:u w:val="single"/>
        </w:rPr>
      </w:pPr>
    </w:p>
    <w:p w14:paraId="08E41BC3" w14:textId="77777777" w:rsidR="00304794" w:rsidRDefault="00304794" w:rsidP="00304794">
      <w:pPr>
        <w:widowControl w:val="0"/>
        <w:spacing w:before="328" w:line="242" w:lineRule="auto"/>
        <w:ind w:left="18" w:right="560" w:hanging="17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  <w:u w:val="single"/>
        </w:rPr>
        <w:t>References: Appendix B</w:t>
      </w:r>
      <w:r>
        <w:rPr>
          <w:rFonts w:ascii="Calibri" w:eastAsia="Calibri" w:hAnsi="Calibri" w:cs="Calibri"/>
          <w:b/>
          <w:sz w:val="26"/>
          <w:szCs w:val="26"/>
        </w:rPr>
        <w:t xml:space="preserve"> (6)</w:t>
      </w:r>
    </w:p>
    <w:p w14:paraId="3209AA62" w14:textId="77777777" w:rsidR="00304794" w:rsidRDefault="00304794" w:rsidP="00304794">
      <w:pPr>
        <w:widowControl w:val="0"/>
        <w:spacing w:before="11" w:line="240" w:lineRule="auto"/>
        <w:ind w:left="8" w:right="590" w:firstLine="5"/>
        <w:rPr>
          <w:rFonts w:ascii="Calibri" w:eastAsia="Calibri" w:hAnsi="Calibri" w:cs="Calibri"/>
          <w:sz w:val="26"/>
          <w:szCs w:val="26"/>
        </w:rPr>
      </w:pPr>
    </w:p>
    <w:p w14:paraId="37DA4CD4" w14:textId="77777777" w:rsidR="00304794" w:rsidRDefault="00304794" w:rsidP="00304794">
      <w:pPr>
        <w:widowControl w:val="0"/>
        <w:spacing w:before="11" w:line="240" w:lineRule="auto"/>
        <w:ind w:left="8" w:right="590" w:firstLine="5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1. Zhang S, A.M. van der Mee F, Erckens R, et al. Raman spectroscopic detection of interleukin-10 and angiotensin converting enzyme. Journal of the European Optical Society-Rapid Publications volume 17, Article number: 7 (2021) </w:t>
      </w:r>
    </w:p>
    <w:p w14:paraId="4CC22D54" w14:textId="77777777" w:rsidR="00304794" w:rsidRDefault="00304794" w:rsidP="00304794">
      <w:pPr>
        <w:widowControl w:val="0"/>
        <w:spacing w:line="240" w:lineRule="auto"/>
        <w:ind w:left="1" w:right="583" w:firstLine="20"/>
        <w:rPr>
          <w:rFonts w:ascii="Calibri" w:eastAsia="Calibri" w:hAnsi="Calibri" w:cs="Calibri"/>
          <w:sz w:val="26"/>
          <w:szCs w:val="26"/>
        </w:rPr>
      </w:pPr>
    </w:p>
    <w:p w14:paraId="5051DC9C" w14:textId="77777777" w:rsidR="00304794" w:rsidRDefault="00304794" w:rsidP="00304794">
      <w:pPr>
        <w:widowControl w:val="0"/>
        <w:spacing w:line="240" w:lineRule="auto"/>
        <w:ind w:right="434"/>
        <w:rPr>
          <w:rFonts w:ascii="Calibri" w:eastAsia="Calibri" w:hAnsi="Calibri" w:cs="Calibri"/>
          <w:sz w:val="26"/>
          <w:szCs w:val="26"/>
        </w:rPr>
      </w:pPr>
      <w:r w:rsidRPr="00304794">
        <w:rPr>
          <w:rFonts w:ascii="Calibri" w:eastAsia="Calibri" w:hAnsi="Calibri" w:cs="Calibri"/>
          <w:sz w:val="26"/>
          <w:szCs w:val="26"/>
          <w:lang w:val="pt-PT"/>
        </w:rPr>
        <w:t xml:space="preserve">2. O-Cuevas E, Badillo-Ramirez I, Islas S, et al. </w:t>
      </w:r>
      <w:r>
        <w:rPr>
          <w:rFonts w:ascii="Calibri" w:eastAsia="Calibri" w:hAnsi="Calibri" w:cs="Calibri"/>
          <w:sz w:val="26"/>
          <w:szCs w:val="26"/>
        </w:rPr>
        <w:t xml:space="preserve">Sensitive Raman detection of human recombinant interleukin-6 mediated by DCDR/GERS hybrid platforms.RSC Adv., 2019, 9, 12269 </w:t>
      </w:r>
    </w:p>
    <w:p w14:paraId="6F89387E" w14:textId="77777777" w:rsidR="00304794" w:rsidRDefault="00304794" w:rsidP="00304794">
      <w:pPr>
        <w:widowControl w:val="0"/>
        <w:spacing w:line="240" w:lineRule="auto"/>
        <w:ind w:right="434"/>
        <w:rPr>
          <w:rFonts w:ascii="Calibri" w:eastAsia="Calibri" w:hAnsi="Calibri" w:cs="Calibri"/>
          <w:sz w:val="26"/>
          <w:szCs w:val="26"/>
        </w:rPr>
      </w:pPr>
    </w:p>
    <w:p w14:paraId="7E492238" w14:textId="77777777" w:rsidR="00304794" w:rsidRDefault="00304794" w:rsidP="00304794">
      <w:pPr>
        <w:widowControl w:val="0"/>
        <w:spacing w:before="16" w:line="240" w:lineRule="auto"/>
        <w:ind w:left="4" w:right="406" w:firstLine="1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7"/>
          <w:szCs w:val="27"/>
        </w:rPr>
        <w:t xml:space="preserve">3. </w:t>
      </w:r>
      <w:r>
        <w:rPr>
          <w:rFonts w:ascii="Calibri" w:eastAsia="Calibri" w:hAnsi="Calibri" w:cs="Calibri"/>
          <w:sz w:val="26"/>
          <w:szCs w:val="26"/>
        </w:rPr>
        <w:t xml:space="preserve">De La O E, Badillo-Ramirez I. Sensitive Raman detection of human recombinant interleukin-6 mediated by DCDR/GERS hybrid platforms. RSC Advances 9(22):12269-12275;April 2019 </w:t>
      </w:r>
    </w:p>
    <w:p w14:paraId="56B2C6A3" w14:textId="77777777" w:rsidR="00304794" w:rsidRDefault="00304794" w:rsidP="00304794">
      <w:pPr>
        <w:widowControl w:val="0"/>
        <w:spacing w:line="240" w:lineRule="auto"/>
        <w:ind w:right="434"/>
        <w:rPr>
          <w:rFonts w:ascii="Calibri" w:eastAsia="Calibri" w:hAnsi="Calibri" w:cs="Calibri"/>
          <w:sz w:val="26"/>
          <w:szCs w:val="26"/>
        </w:rPr>
      </w:pPr>
    </w:p>
    <w:p w14:paraId="237B44A4" w14:textId="77777777" w:rsidR="00304794" w:rsidRDefault="00304794" w:rsidP="00304794">
      <w:pPr>
        <w:widowControl w:val="0"/>
        <w:spacing w:before="7" w:line="240" w:lineRule="auto"/>
        <w:ind w:left="17" w:right="259" w:hanging="4"/>
        <w:rPr>
          <w:rFonts w:ascii="Calibri" w:eastAsia="Calibri" w:hAnsi="Calibri" w:cs="Calibri"/>
          <w:sz w:val="26"/>
          <w:szCs w:val="26"/>
        </w:rPr>
      </w:pPr>
    </w:p>
    <w:p w14:paraId="4B0510DC" w14:textId="77777777" w:rsidR="00304794" w:rsidRDefault="00304794" w:rsidP="00304794">
      <w:pPr>
        <w:widowControl w:val="0"/>
        <w:spacing w:before="7" w:line="240" w:lineRule="auto"/>
        <w:ind w:left="17" w:right="259" w:hanging="4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lastRenderedPageBreak/>
        <w:t xml:space="preserve">4. Chaudhary N, Nguyet T, Nguyen Q, et al. Discrimination of immune cell activation using Raman micro-spectroscopy in an in-vitr0 and ex-vivo model. Spectrochimica Acta Part A: Molecular and Biomolecular Spectroscopy </w:t>
      </w:r>
    </w:p>
    <w:p w14:paraId="1C649420" w14:textId="77777777" w:rsidR="00304794" w:rsidRDefault="00304794" w:rsidP="00304794">
      <w:pPr>
        <w:widowControl w:val="0"/>
        <w:spacing w:before="17" w:line="240" w:lineRule="auto"/>
        <w:ind w:left="3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z w:val="23"/>
          <w:szCs w:val="23"/>
        </w:rPr>
        <w:t xml:space="preserve">Volume 248, 5 March 2021, 11911 </w:t>
      </w:r>
    </w:p>
    <w:p w14:paraId="59935F0C" w14:textId="77777777" w:rsidR="00304794" w:rsidRDefault="00304794" w:rsidP="00304794">
      <w:pPr>
        <w:widowControl w:val="0"/>
        <w:spacing w:before="6" w:line="240" w:lineRule="auto"/>
        <w:ind w:left="12" w:right="769" w:firstLine="2"/>
        <w:rPr>
          <w:rFonts w:ascii="Calibri" w:eastAsia="Calibri" w:hAnsi="Calibri" w:cs="Calibri"/>
          <w:sz w:val="27"/>
          <w:szCs w:val="27"/>
        </w:rPr>
      </w:pPr>
    </w:p>
    <w:p w14:paraId="05B23DE2" w14:textId="77777777" w:rsidR="00304794" w:rsidRDefault="00304794" w:rsidP="00304794">
      <w:pPr>
        <w:widowControl w:val="0"/>
        <w:spacing w:before="6" w:line="240" w:lineRule="auto"/>
        <w:ind w:left="12" w:right="769" w:firstLine="2"/>
        <w:rPr>
          <w:rFonts w:ascii="Calibri" w:eastAsia="Calibri" w:hAnsi="Calibri" w:cs="Calibri"/>
          <w:sz w:val="27"/>
          <w:szCs w:val="27"/>
        </w:rPr>
      </w:pPr>
      <w:r>
        <w:rPr>
          <w:rFonts w:ascii="Calibri" w:eastAsia="Calibri" w:hAnsi="Calibri" w:cs="Calibri"/>
          <w:sz w:val="27"/>
          <w:szCs w:val="27"/>
        </w:rPr>
        <w:t xml:space="preserve">5. Bergholt M, Hassing S. Quantification of C-Reactive protein in human blood plasma using near-infrared Raman spectroscopy. The Analyst 134(10):2123- 7,October </w:t>
      </w:r>
    </w:p>
    <w:p w14:paraId="21FCB782" w14:textId="77777777" w:rsidR="00304794" w:rsidRDefault="00304794" w:rsidP="00304794">
      <w:pPr>
        <w:widowControl w:val="0"/>
        <w:spacing w:before="11" w:line="240" w:lineRule="auto"/>
        <w:ind w:left="14"/>
        <w:rPr>
          <w:rFonts w:ascii="Calibri" w:eastAsia="Calibri" w:hAnsi="Calibri" w:cs="Calibri"/>
          <w:sz w:val="27"/>
          <w:szCs w:val="27"/>
        </w:rPr>
      </w:pPr>
      <w:r>
        <w:rPr>
          <w:rFonts w:ascii="Calibri" w:eastAsia="Calibri" w:hAnsi="Calibri" w:cs="Calibri"/>
          <w:sz w:val="27"/>
          <w:szCs w:val="27"/>
        </w:rPr>
        <w:t xml:space="preserve">2009 </w:t>
      </w:r>
    </w:p>
    <w:p w14:paraId="7718B6BD" w14:textId="77777777" w:rsidR="00304794" w:rsidRDefault="00304794" w:rsidP="00304794">
      <w:pPr>
        <w:widowControl w:val="0"/>
        <w:spacing w:before="14" w:line="240" w:lineRule="auto"/>
        <w:ind w:left="10" w:right="535" w:firstLine="4"/>
        <w:rPr>
          <w:rFonts w:ascii="Calibri" w:eastAsia="Calibri" w:hAnsi="Calibri" w:cs="Calibri"/>
          <w:sz w:val="27"/>
          <w:szCs w:val="27"/>
        </w:rPr>
      </w:pPr>
    </w:p>
    <w:p w14:paraId="0A275990" w14:textId="77777777" w:rsidR="00304794" w:rsidRDefault="00304794" w:rsidP="00304794">
      <w:pPr>
        <w:widowControl w:val="0"/>
        <w:spacing w:before="14" w:line="240" w:lineRule="auto"/>
        <w:ind w:left="10" w:right="535" w:firstLine="4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7"/>
          <w:szCs w:val="27"/>
        </w:rPr>
        <w:t xml:space="preserve">6. Staritzbichler R, Hunold P, Estrela-Lopis I, et al. Raman spectroscopy on blood samples of patients with end-stage liver disease. </w:t>
      </w:r>
      <w:r>
        <w:rPr>
          <w:rFonts w:ascii="Calibri" w:eastAsia="Calibri" w:hAnsi="Calibri" w:cs="Calibri"/>
          <w:sz w:val="26"/>
          <w:szCs w:val="26"/>
        </w:rPr>
        <w:t xml:space="preserve">September 7, </w:t>
      </w:r>
    </w:p>
    <w:p w14:paraId="22A3A82E" w14:textId="77777777" w:rsidR="00304794" w:rsidRDefault="00304794" w:rsidP="00304794">
      <w:pPr>
        <w:widowControl w:val="0"/>
        <w:spacing w:before="10" w:line="240" w:lineRule="auto"/>
        <w:ind w:left="13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2021,https://doi.org/10.1371/journal.pone.0256045 </w:t>
      </w:r>
    </w:p>
    <w:p w14:paraId="4945E805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794"/>
    <w:rsid w:val="00304794"/>
    <w:rsid w:val="009B39BA"/>
    <w:rsid w:val="00C92284"/>
    <w:rsid w:val="00D9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03179"/>
  <w15:chartTrackingRefBased/>
  <w15:docId w15:val="{0411A09D-8391-4422-BF79-CEA173771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79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479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479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479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479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479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479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479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479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479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7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47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47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47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47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47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47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47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47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47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47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479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47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479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47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479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47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47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47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47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505</Words>
  <Characters>2879</Characters>
  <Application>Microsoft Office Word</Application>
  <DocSecurity>0</DocSecurity>
  <Lines>23</Lines>
  <Paragraphs>6</Paragraphs>
  <ScaleCrop>false</ScaleCrop>
  <Company>SpringerNature</Company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2024-09-23T09:49:00Z</dcterms:created>
  <dcterms:modified xsi:type="dcterms:W3CDTF">2024-09-23T09:49:00Z</dcterms:modified>
</cp:coreProperties>
</file>