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39701C" w14:textId="691AD846" w:rsidR="0000796D" w:rsidRDefault="00157EFF">
      <w:pPr>
        <w:rPr>
          <w:rFonts w:ascii="Arial" w:hAnsi="Arial" w:cs="Arial"/>
          <w:b/>
          <w:bCs/>
          <w:sz w:val="20"/>
          <w:szCs w:val="20"/>
        </w:rPr>
      </w:pPr>
      <w:r w:rsidRPr="00157EFF">
        <w:rPr>
          <w:rFonts w:ascii="Arial" w:hAnsi="Arial" w:cs="Arial"/>
          <w:b/>
          <w:bCs/>
          <w:sz w:val="20"/>
          <w:szCs w:val="20"/>
        </w:rPr>
        <w:t>SUPPLEMENTARY MATERIALS</w:t>
      </w:r>
    </w:p>
    <w:tbl>
      <w:tblPr>
        <w:tblpPr w:leftFromText="141" w:rightFromText="141" w:vertAnchor="text" w:horzAnchor="margin" w:tblpXSpec="center" w:tblpY="455"/>
        <w:tblW w:w="4960" w:type="dxa"/>
        <w:tblCellMar>
          <w:left w:w="0" w:type="dxa"/>
          <w:right w:w="0" w:type="dxa"/>
        </w:tblCellMar>
        <w:tblLook w:val="04A0" w:firstRow="1" w:lastRow="0" w:firstColumn="1" w:lastColumn="0" w:noHBand="0" w:noVBand="1"/>
      </w:tblPr>
      <w:tblGrid>
        <w:gridCol w:w="2120"/>
        <w:gridCol w:w="2840"/>
      </w:tblGrid>
      <w:tr w:rsidR="00157EFF" w:rsidRPr="00157EFF" w14:paraId="3FC87DE4" w14:textId="77777777" w:rsidTr="00157EFF">
        <w:trPr>
          <w:trHeight w:val="173"/>
        </w:trPr>
        <w:tc>
          <w:tcPr>
            <w:tcW w:w="2120" w:type="dxa"/>
            <w:tcBorders>
              <w:top w:val="single" w:sz="4" w:space="0" w:color="4472C4"/>
              <w:left w:val="single" w:sz="4" w:space="0" w:color="4472C4"/>
              <w:bottom w:val="single" w:sz="4" w:space="0" w:color="4472C4"/>
              <w:right w:val="nil"/>
            </w:tcBorders>
            <w:shd w:val="clear" w:color="auto" w:fill="D9E2F3" w:themeFill="accent1" w:themeFillTint="33"/>
            <w:tcMar>
              <w:top w:w="15" w:type="dxa"/>
              <w:left w:w="108" w:type="dxa"/>
              <w:bottom w:w="0" w:type="dxa"/>
              <w:right w:w="108" w:type="dxa"/>
            </w:tcMar>
            <w:vAlign w:val="center"/>
            <w:hideMark/>
          </w:tcPr>
          <w:p w14:paraId="782B991F" w14:textId="77777777" w:rsidR="00157EFF" w:rsidRPr="00157EFF" w:rsidRDefault="00157EFF" w:rsidP="00157EFF">
            <w:pPr>
              <w:jc w:val="center"/>
              <w:rPr>
                <w:rFonts w:ascii="Arial" w:hAnsi="Arial" w:cs="Arial"/>
                <w:b/>
                <w:bCs/>
                <w:sz w:val="20"/>
                <w:szCs w:val="20"/>
              </w:rPr>
            </w:pPr>
            <w:r w:rsidRPr="00157EFF">
              <w:rPr>
                <w:rFonts w:ascii="Arial" w:hAnsi="Arial" w:cs="Arial"/>
                <w:b/>
                <w:bCs/>
                <w:sz w:val="20"/>
                <w:szCs w:val="20"/>
                <w:lang w:val="en-US"/>
              </w:rPr>
              <w:t>Target genes</w:t>
            </w:r>
          </w:p>
        </w:tc>
        <w:tc>
          <w:tcPr>
            <w:tcW w:w="2840" w:type="dxa"/>
            <w:tcBorders>
              <w:top w:val="single" w:sz="4" w:space="0" w:color="4472C4"/>
              <w:left w:val="nil"/>
              <w:bottom w:val="single" w:sz="4" w:space="0" w:color="4472C4"/>
              <w:right w:val="single" w:sz="4" w:space="0" w:color="4472C4"/>
            </w:tcBorders>
            <w:shd w:val="clear" w:color="auto" w:fill="D9E2F3" w:themeFill="accent1" w:themeFillTint="33"/>
            <w:tcMar>
              <w:top w:w="15" w:type="dxa"/>
              <w:left w:w="108" w:type="dxa"/>
              <w:bottom w:w="0" w:type="dxa"/>
              <w:right w:w="108" w:type="dxa"/>
            </w:tcMar>
            <w:vAlign w:val="center"/>
            <w:hideMark/>
          </w:tcPr>
          <w:p w14:paraId="3B9E379E" w14:textId="77777777" w:rsidR="00157EFF" w:rsidRPr="00157EFF" w:rsidRDefault="00157EFF" w:rsidP="00157EFF">
            <w:pPr>
              <w:jc w:val="center"/>
              <w:rPr>
                <w:rFonts w:ascii="Arial" w:hAnsi="Arial" w:cs="Arial"/>
                <w:b/>
                <w:bCs/>
                <w:sz w:val="20"/>
                <w:szCs w:val="20"/>
              </w:rPr>
            </w:pPr>
            <w:r w:rsidRPr="00157EFF">
              <w:rPr>
                <w:rFonts w:ascii="Arial" w:hAnsi="Arial" w:cs="Arial"/>
                <w:b/>
                <w:bCs/>
                <w:sz w:val="20"/>
                <w:szCs w:val="20"/>
                <w:lang w:val="en-US"/>
              </w:rPr>
              <w:t>TaqMan probes ID</w:t>
            </w:r>
          </w:p>
        </w:tc>
      </w:tr>
      <w:tr w:rsidR="00157EFF" w:rsidRPr="00157EFF" w14:paraId="2FD44308" w14:textId="77777777" w:rsidTr="00157EFF">
        <w:tc>
          <w:tcPr>
            <w:tcW w:w="2120" w:type="dxa"/>
            <w:tcBorders>
              <w:top w:val="single" w:sz="4" w:space="0" w:color="4472C4"/>
              <w:left w:val="single" w:sz="4" w:space="0" w:color="4472C4"/>
              <w:bottom w:val="single" w:sz="4" w:space="0" w:color="4472C4"/>
              <w:right w:val="single" w:sz="8" w:space="0" w:color="4472C4"/>
            </w:tcBorders>
            <w:shd w:val="clear" w:color="auto" w:fill="auto"/>
            <w:tcMar>
              <w:top w:w="15" w:type="dxa"/>
              <w:left w:w="108" w:type="dxa"/>
              <w:bottom w:w="0" w:type="dxa"/>
              <w:right w:w="108" w:type="dxa"/>
            </w:tcMar>
            <w:vAlign w:val="center"/>
            <w:hideMark/>
          </w:tcPr>
          <w:p w14:paraId="09927756" w14:textId="77777777" w:rsidR="00157EFF" w:rsidRPr="00157EFF" w:rsidRDefault="00157EFF" w:rsidP="00157EFF">
            <w:pPr>
              <w:rPr>
                <w:rFonts w:ascii="Arial" w:hAnsi="Arial" w:cs="Arial"/>
                <w:b/>
                <w:bCs/>
                <w:sz w:val="20"/>
                <w:szCs w:val="20"/>
              </w:rPr>
            </w:pPr>
            <w:proofErr w:type="spellStart"/>
            <w:r w:rsidRPr="00157EFF">
              <w:rPr>
                <w:rFonts w:ascii="Arial" w:hAnsi="Arial" w:cs="Arial"/>
                <w:b/>
                <w:bCs/>
                <w:sz w:val="20"/>
                <w:szCs w:val="20"/>
                <w:lang w:val="en-US"/>
              </w:rPr>
              <w:t>Gusb</w:t>
            </w:r>
            <w:proofErr w:type="spellEnd"/>
          </w:p>
        </w:tc>
        <w:tc>
          <w:tcPr>
            <w:tcW w:w="2840" w:type="dxa"/>
            <w:tcBorders>
              <w:top w:val="single" w:sz="4" w:space="0" w:color="4472C4"/>
              <w:left w:val="single" w:sz="8" w:space="0" w:color="4472C4"/>
              <w:bottom w:val="single" w:sz="4" w:space="0" w:color="4472C4"/>
              <w:right w:val="single" w:sz="4" w:space="0" w:color="4472C4"/>
            </w:tcBorders>
            <w:shd w:val="clear" w:color="auto" w:fill="auto"/>
            <w:tcMar>
              <w:top w:w="15" w:type="dxa"/>
              <w:left w:w="108" w:type="dxa"/>
              <w:bottom w:w="0" w:type="dxa"/>
              <w:right w:w="108" w:type="dxa"/>
            </w:tcMar>
            <w:vAlign w:val="center"/>
            <w:hideMark/>
          </w:tcPr>
          <w:p w14:paraId="52F8DA1C" w14:textId="77777777" w:rsidR="00157EFF" w:rsidRPr="00157EFF" w:rsidRDefault="00157EFF" w:rsidP="00157EFF">
            <w:pPr>
              <w:rPr>
                <w:rFonts w:ascii="Arial" w:hAnsi="Arial" w:cs="Arial"/>
                <w:b/>
                <w:bCs/>
                <w:sz w:val="20"/>
                <w:szCs w:val="20"/>
              </w:rPr>
            </w:pPr>
            <w:r w:rsidRPr="00157EFF">
              <w:rPr>
                <w:rFonts w:ascii="Arial" w:hAnsi="Arial" w:cs="Arial"/>
                <w:b/>
                <w:bCs/>
                <w:sz w:val="20"/>
                <w:szCs w:val="20"/>
                <w:lang w:val="en-US"/>
              </w:rPr>
              <w:t xml:space="preserve">Mm01197698_m1 </w:t>
            </w:r>
          </w:p>
        </w:tc>
      </w:tr>
      <w:tr w:rsidR="00157EFF" w:rsidRPr="00157EFF" w14:paraId="3336C73F" w14:textId="77777777" w:rsidTr="00157EFF">
        <w:tc>
          <w:tcPr>
            <w:tcW w:w="2120" w:type="dxa"/>
            <w:tcBorders>
              <w:top w:val="single" w:sz="4" w:space="0" w:color="4472C4"/>
              <w:left w:val="single" w:sz="4" w:space="0" w:color="4472C4"/>
              <w:bottom w:val="single" w:sz="4" w:space="0" w:color="4472C4"/>
              <w:right w:val="single" w:sz="8" w:space="0" w:color="4472C4"/>
            </w:tcBorders>
            <w:shd w:val="clear" w:color="auto" w:fill="auto"/>
            <w:tcMar>
              <w:top w:w="15" w:type="dxa"/>
              <w:left w:w="108" w:type="dxa"/>
              <w:bottom w:w="0" w:type="dxa"/>
              <w:right w:w="108" w:type="dxa"/>
            </w:tcMar>
            <w:vAlign w:val="center"/>
            <w:hideMark/>
          </w:tcPr>
          <w:p w14:paraId="7D1C6218" w14:textId="77777777" w:rsidR="00157EFF" w:rsidRPr="00157EFF" w:rsidRDefault="00157EFF" w:rsidP="00157EFF">
            <w:pPr>
              <w:rPr>
                <w:rFonts w:ascii="Arial" w:hAnsi="Arial" w:cs="Arial"/>
                <w:b/>
                <w:bCs/>
                <w:sz w:val="20"/>
                <w:szCs w:val="20"/>
              </w:rPr>
            </w:pPr>
            <w:r w:rsidRPr="00157EFF">
              <w:rPr>
                <w:rFonts w:ascii="Arial" w:hAnsi="Arial" w:cs="Arial"/>
                <w:b/>
                <w:bCs/>
                <w:sz w:val="20"/>
                <w:szCs w:val="20"/>
                <w:lang w:val="en-US"/>
              </w:rPr>
              <w:t>Abcb1a</w:t>
            </w:r>
          </w:p>
        </w:tc>
        <w:tc>
          <w:tcPr>
            <w:tcW w:w="2840" w:type="dxa"/>
            <w:tcBorders>
              <w:top w:val="single" w:sz="4" w:space="0" w:color="4472C4"/>
              <w:left w:val="single" w:sz="8" w:space="0" w:color="4472C4"/>
              <w:bottom w:val="single" w:sz="4" w:space="0" w:color="4472C4"/>
              <w:right w:val="single" w:sz="4" w:space="0" w:color="4472C4"/>
            </w:tcBorders>
            <w:shd w:val="clear" w:color="auto" w:fill="auto"/>
            <w:tcMar>
              <w:top w:w="15" w:type="dxa"/>
              <w:left w:w="108" w:type="dxa"/>
              <w:bottom w:w="0" w:type="dxa"/>
              <w:right w:w="108" w:type="dxa"/>
            </w:tcMar>
            <w:vAlign w:val="center"/>
            <w:hideMark/>
          </w:tcPr>
          <w:p w14:paraId="44EC2AE7" w14:textId="77777777" w:rsidR="00157EFF" w:rsidRPr="00157EFF" w:rsidRDefault="00157EFF" w:rsidP="00157EFF">
            <w:pPr>
              <w:rPr>
                <w:rFonts w:ascii="Arial" w:hAnsi="Arial" w:cs="Arial"/>
                <w:b/>
                <w:bCs/>
                <w:sz w:val="20"/>
                <w:szCs w:val="20"/>
              </w:rPr>
            </w:pPr>
            <w:r w:rsidRPr="00157EFF">
              <w:rPr>
                <w:rFonts w:ascii="Arial" w:hAnsi="Arial" w:cs="Arial"/>
                <w:b/>
                <w:bCs/>
                <w:sz w:val="20"/>
                <w:szCs w:val="20"/>
                <w:lang w:val="en-US"/>
              </w:rPr>
              <w:t xml:space="preserve">Mm00440761_m1 </w:t>
            </w:r>
          </w:p>
        </w:tc>
      </w:tr>
      <w:tr w:rsidR="00157EFF" w:rsidRPr="00157EFF" w14:paraId="1BECD0E4" w14:textId="77777777" w:rsidTr="00157EFF">
        <w:tc>
          <w:tcPr>
            <w:tcW w:w="2120" w:type="dxa"/>
            <w:tcBorders>
              <w:top w:val="single" w:sz="4" w:space="0" w:color="4472C4"/>
              <w:left w:val="single" w:sz="4" w:space="0" w:color="4472C4"/>
              <w:bottom w:val="single" w:sz="4" w:space="0" w:color="4472C4"/>
              <w:right w:val="single" w:sz="8" w:space="0" w:color="4472C4"/>
            </w:tcBorders>
            <w:shd w:val="clear" w:color="auto" w:fill="auto"/>
            <w:tcMar>
              <w:top w:w="15" w:type="dxa"/>
              <w:left w:w="108" w:type="dxa"/>
              <w:bottom w:w="0" w:type="dxa"/>
              <w:right w:w="108" w:type="dxa"/>
            </w:tcMar>
            <w:vAlign w:val="center"/>
            <w:hideMark/>
          </w:tcPr>
          <w:p w14:paraId="578681DE" w14:textId="77777777" w:rsidR="00157EFF" w:rsidRPr="00157EFF" w:rsidRDefault="00157EFF" w:rsidP="00157EFF">
            <w:pPr>
              <w:rPr>
                <w:rFonts w:ascii="Arial" w:hAnsi="Arial" w:cs="Arial"/>
                <w:b/>
                <w:bCs/>
                <w:sz w:val="20"/>
                <w:szCs w:val="20"/>
              </w:rPr>
            </w:pPr>
            <w:r w:rsidRPr="00157EFF">
              <w:rPr>
                <w:rFonts w:ascii="Arial" w:hAnsi="Arial" w:cs="Arial"/>
                <w:b/>
                <w:bCs/>
                <w:sz w:val="20"/>
                <w:szCs w:val="20"/>
                <w:lang w:val="en-US"/>
              </w:rPr>
              <w:t>Abcb1b</w:t>
            </w:r>
          </w:p>
        </w:tc>
        <w:tc>
          <w:tcPr>
            <w:tcW w:w="2840" w:type="dxa"/>
            <w:tcBorders>
              <w:top w:val="single" w:sz="4" w:space="0" w:color="4472C4"/>
              <w:left w:val="single" w:sz="8" w:space="0" w:color="4472C4"/>
              <w:bottom w:val="single" w:sz="4" w:space="0" w:color="4472C4"/>
              <w:right w:val="single" w:sz="4" w:space="0" w:color="4472C4"/>
            </w:tcBorders>
            <w:shd w:val="clear" w:color="auto" w:fill="auto"/>
            <w:tcMar>
              <w:top w:w="15" w:type="dxa"/>
              <w:left w:w="108" w:type="dxa"/>
              <w:bottom w:w="0" w:type="dxa"/>
              <w:right w:w="108" w:type="dxa"/>
            </w:tcMar>
            <w:vAlign w:val="center"/>
            <w:hideMark/>
          </w:tcPr>
          <w:p w14:paraId="5E311483" w14:textId="77777777" w:rsidR="00157EFF" w:rsidRPr="00157EFF" w:rsidRDefault="00157EFF" w:rsidP="00157EFF">
            <w:pPr>
              <w:rPr>
                <w:rFonts w:ascii="Arial" w:hAnsi="Arial" w:cs="Arial"/>
                <w:b/>
                <w:bCs/>
                <w:sz w:val="20"/>
                <w:szCs w:val="20"/>
              </w:rPr>
            </w:pPr>
            <w:r w:rsidRPr="00157EFF">
              <w:rPr>
                <w:rFonts w:ascii="Arial" w:hAnsi="Arial" w:cs="Arial"/>
                <w:b/>
                <w:bCs/>
                <w:sz w:val="20"/>
                <w:szCs w:val="20"/>
                <w:lang w:val="en-US"/>
              </w:rPr>
              <w:t xml:space="preserve">Mm00440736_m1 </w:t>
            </w:r>
          </w:p>
        </w:tc>
      </w:tr>
      <w:tr w:rsidR="00157EFF" w:rsidRPr="00157EFF" w14:paraId="4779E7FE" w14:textId="77777777" w:rsidTr="00157EFF">
        <w:tc>
          <w:tcPr>
            <w:tcW w:w="2120" w:type="dxa"/>
            <w:tcBorders>
              <w:top w:val="single" w:sz="4" w:space="0" w:color="4472C4"/>
              <w:left w:val="single" w:sz="4" w:space="0" w:color="4472C4"/>
              <w:bottom w:val="single" w:sz="4" w:space="0" w:color="4472C4"/>
              <w:right w:val="single" w:sz="8" w:space="0" w:color="4472C4"/>
            </w:tcBorders>
            <w:shd w:val="clear" w:color="auto" w:fill="auto"/>
            <w:tcMar>
              <w:top w:w="15" w:type="dxa"/>
              <w:left w:w="108" w:type="dxa"/>
              <w:bottom w:w="0" w:type="dxa"/>
              <w:right w:w="108" w:type="dxa"/>
            </w:tcMar>
            <w:vAlign w:val="center"/>
            <w:hideMark/>
          </w:tcPr>
          <w:p w14:paraId="6716727F" w14:textId="77777777" w:rsidR="00157EFF" w:rsidRPr="00157EFF" w:rsidRDefault="00157EFF" w:rsidP="00157EFF">
            <w:pPr>
              <w:rPr>
                <w:rFonts w:ascii="Arial" w:hAnsi="Arial" w:cs="Arial"/>
                <w:b/>
                <w:bCs/>
                <w:sz w:val="20"/>
                <w:szCs w:val="20"/>
              </w:rPr>
            </w:pPr>
            <w:r w:rsidRPr="00157EFF">
              <w:rPr>
                <w:rFonts w:ascii="Arial" w:hAnsi="Arial" w:cs="Arial"/>
                <w:b/>
                <w:bCs/>
                <w:sz w:val="20"/>
                <w:szCs w:val="20"/>
                <w:lang w:val="en-US"/>
              </w:rPr>
              <w:t>Abcg2</w:t>
            </w:r>
          </w:p>
        </w:tc>
        <w:tc>
          <w:tcPr>
            <w:tcW w:w="2840" w:type="dxa"/>
            <w:tcBorders>
              <w:top w:val="single" w:sz="4" w:space="0" w:color="4472C4"/>
              <w:left w:val="single" w:sz="8" w:space="0" w:color="4472C4"/>
              <w:bottom w:val="single" w:sz="4" w:space="0" w:color="4472C4"/>
              <w:right w:val="single" w:sz="4" w:space="0" w:color="4472C4"/>
            </w:tcBorders>
            <w:shd w:val="clear" w:color="auto" w:fill="auto"/>
            <w:tcMar>
              <w:top w:w="15" w:type="dxa"/>
              <w:left w:w="108" w:type="dxa"/>
              <w:bottom w:w="0" w:type="dxa"/>
              <w:right w:w="108" w:type="dxa"/>
            </w:tcMar>
            <w:vAlign w:val="center"/>
            <w:hideMark/>
          </w:tcPr>
          <w:p w14:paraId="633370C4" w14:textId="77777777" w:rsidR="00157EFF" w:rsidRPr="00157EFF" w:rsidRDefault="00157EFF" w:rsidP="00157EFF">
            <w:pPr>
              <w:rPr>
                <w:rFonts w:ascii="Arial" w:hAnsi="Arial" w:cs="Arial"/>
                <w:b/>
                <w:bCs/>
                <w:sz w:val="20"/>
                <w:szCs w:val="20"/>
              </w:rPr>
            </w:pPr>
            <w:r w:rsidRPr="00157EFF">
              <w:rPr>
                <w:rFonts w:ascii="Arial" w:hAnsi="Arial" w:cs="Arial"/>
                <w:b/>
                <w:bCs/>
                <w:sz w:val="20"/>
                <w:szCs w:val="20"/>
                <w:lang w:val="en-US"/>
              </w:rPr>
              <w:t xml:space="preserve">Mm00496364_m1 </w:t>
            </w:r>
          </w:p>
        </w:tc>
      </w:tr>
      <w:tr w:rsidR="00157EFF" w:rsidRPr="00157EFF" w14:paraId="6383FDF9" w14:textId="77777777" w:rsidTr="00157EFF">
        <w:tc>
          <w:tcPr>
            <w:tcW w:w="2120" w:type="dxa"/>
            <w:tcBorders>
              <w:top w:val="single" w:sz="4" w:space="0" w:color="4472C4"/>
              <w:left w:val="single" w:sz="4" w:space="0" w:color="4472C4"/>
              <w:bottom w:val="single" w:sz="4" w:space="0" w:color="4472C4"/>
              <w:right w:val="single" w:sz="8" w:space="0" w:color="4472C4"/>
            </w:tcBorders>
            <w:shd w:val="clear" w:color="auto" w:fill="auto"/>
            <w:tcMar>
              <w:top w:w="15" w:type="dxa"/>
              <w:left w:w="108" w:type="dxa"/>
              <w:bottom w:w="0" w:type="dxa"/>
              <w:right w:w="108" w:type="dxa"/>
            </w:tcMar>
            <w:vAlign w:val="center"/>
            <w:hideMark/>
          </w:tcPr>
          <w:p w14:paraId="2AC5DE7B" w14:textId="77777777" w:rsidR="00157EFF" w:rsidRPr="00157EFF" w:rsidRDefault="00157EFF" w:rsidP="00157EFF">
            <w:pPr>
              <w:rPr>
                <w:rFonts w:ascii="Arial" w:hAnsi="Arial" w:cs="Arial"/>
                <w:b/>
                <w:bCs/>
                <w:sz w:val="20"/>
                <w:szCs w:val="20"/>
              </w:rPr>
            </w:pPr>
            <w:r w:rsidRPr="00157EFF">
              <w:rPr>
                <w:rFonts w:ascii="Arial" w:hAnsi="Arial" w:cs="Arial"/>
                <w:b/>
                <w:bCs/>
                <w:sz w:val="20"/>
                <w:szCs w:val="20"/>
                <w:lang w:val="en-US"/>
              </w:rPr>
              <w:t>Cyp1a1</w:t>
            </w:r>
          </w:p>
        </w:tc>
        <w:tc>
          <w:tcPr>
            <w:tcW w:w="2840" w:type="dxa"/>
            <w:tcBorders>
              <w:top w:val="single" w:sz="4" w:space="0" w:color="4472C4"/>
              <w:left w:val="single" w:sz="8" w:space="0" w:color="4472C4"/>
              <w:bottom w:val="single" w:sz="4" w:space="0" w:color="4472C4"/>
              <w:right w:val="single" w:sz="4" w:space="0" w:color="4472C4"/>
            </w:tcBorders>
            <w:shd w:val="clear" w:color="auto" w:fill="auto"/>
            <w:tcMar>
              <w:top w:w="15" w:type="dxa"/>
              <w:left w:w="108" w:type="dxa"/>
              <w:bottom w:w="0" w:type="dxa"/>
              <w:right w:w="108" w:type="dxa"/>
            </w:tcMar>
            <w:vAlign w:val="center"/>
            <w:hideMark/>
          </w:tcPr>
          <w:p w14:paraId="03F4DB0C" w14:textId="77777777" w:rsidR="00157EFF" w:rsidRPr="00157EFF" w:rsidRDefault="00157EFF" w:rsidP="00157EFF">
            <w:pPr>
              <w:rPr>
                <w:rFonts w:ascii="Arial" w:hAnsi="Arial" w:cs="Arial"/>
                <w:b/>
                <w:bCs/>
                <w:sz w:val="20"/>
                <w:szCs w:val="20"/>
              </w:rPr>
            </w:pPr>
            <w:r w:rsidRPr="00157EFF">
              <w:rPr>
                <w:rFonts w:ascii="Arial" w:hAnsi="Arial" w:cs="Arial"/>
                <w:b/>
                <w:bCs/>
                <w:sz w:val="20"/>
                <w:szCs w:val="20"/>
                <w:lang w:val="en-US"/>
              </w:rPr>
              <w:t>Mm00487218_m1</w:t>
            </w:r>
          </w:p>
        </w:tc>
      </w:tr>
      <w:tr w:rsidR="00157EFF" w:rsidRPr="00157EFF" w14:paraId="4FA83828" w14:textId="77777777" w:rsidTr="00157EFF">
        <w:tc>
          <w:tcPr>
            <w:tcW w:w="2120" w:type="dxa"/>
            <w:tcBorders>
              <w:top w:val="single" w:sz="4" w:space="0" w:color="4472C4"/>
              <w:left w:val="single" w:sz="4" w:space="0" w:color="4472C4"/>
              <w:bottom w:val="single" w:sz="4" w:space="0" w:color="4472C4"/>
              <w:right w:val="single" w:sz="8" w:space="0" w:color="4472C4"/>
            </w:tcBorders>
            <w:shd w:val="clear" w:color="auto" w:fill="auto"/>
            <w:tcMar>
              <w:top w:w="15" w:type="dxa"/>
              <w:left w:w="108" w:type="dxa"/>
              <w:bottom w:w="0" w:type="dxa"/>
              <w:right w:w="108" w:type="dxa"/>
            </w:tcMar>
            <w:vAlign w:val="center"/>
            <w:hideMark/>
          </w:tcPr>
          <w:p w14:paraId="59B33683" w14:textId="77777777" w:rsidR="00157EFF" w:rsidRPr="00157EFF" w:rsidRDefault="00157EFF" w:rsidP="00157EFF">
            <w:pPr>
              <w:rPr>
                <w:rFonts w:ascii="Arial" w:hAnsi="Arial" w:cs="Arial"/>
                <w:b/>
                <w:bCs/>
                <w:sz w:val="20"/>
                <w:szCs w:val="20"/>
              </w:rPr>
            </w:pPr>
            <w:r w:rsidRPr="00157EFF">
              <w:rPr>
                <w:rFonts w:ascii="Arial" w:hAnsi="Arial" w:cs="Arial"/>
                <w:b/>
                <w:bCs/>
                <w:sz w:val="20"/>
                <w:szCs w:val="20"/>
                <w:lang w:val="en-US"/>
              </w:rPr>
              <w:t>Cyp1a2</w:t>
            </w:r>
          </w:p>
        </w:tc>
        <w:tc>
          <w:tcPr>
            <w:tcW w:w="2840" w:type="dxa"/>
            <w:tcBorders>
              <w:top w:val="single" w:sz="4" w:space="0" w:color="4472C4"/>
              <w:left w:val="single" w:sz="8" w:space="0" w:color="4472C4"/>
              <w:bottom w:val="single" w:sz="4" w:space="0" w:color="4472C4"/>
              <w:right w:val="single" w:sz="4" w:space="0" w:color="4472C4"/>
            </w:tcBorders>
            <w:shd w:val="clear" w:color="auto" w:fill="auto"/>
            <w:tcMar>
              <w:top w:w="15" w:type="dxa"/>
              <w:left w:w="108" w:type="dxa"/>
              <w:bottom w:w="0" w:type="dxa"/>
              <w:right w:w="108" w:type="dxa"/>
            </w:tcMar>
            <w:vAlign w:val="center"/>
            <w:hideMark/>
          </w:tcPr>
          <w:p w14:paraId="4B3F1F7F" w14:textId="77777777" w:rsidR="00157EFF" w:rsidRPr="00157EFF" w:rsidRDefault="00157EFF" w:rsidP="00157EFF">
            <w:pPr>
              <w:rPr>
                <w:rFonts w:ascii="Arial" w:hAnsi="Arial" w:cs="Arial"/>
                <w:b/>
                <w:bCs/>
                <w:sz w:val="20"/>
                <w:szCs w:val="20"/>
              </w:rPr>
            </w:pPr>
            <w:r w:rsidRPr="00157EFF">
              <w:rPr>
                <w:rFonts w:ascii="Arial" w:hAnsi="Arial" w:cs="Arial"/>
                <w:b/>
                <w:bCs/>
                <w:sz w:val="20"/>
                <w:szCs w:val="20"/>
                <w:lang w:val="en-US"/>
              </w:rPr>
              <w:t xml:space="preserve">Mm00487224_m1 </w:t>
            </w:r>
          </w:p>
        </w:tc>
      </w:tr>
      <w:tr w:rsidR="00157EFF" w:rsidRPr="00157EFF" w14:paraId="3FB77864" w14:textId="77777777" w:rsidTr="00157EFF">
        <w:tc>
          <w:tcPr>
            <w:tcW w:w="2120" w:type="dxa"/>
            <w:tcBorders>
              <w:top w:val="single" w:sz="4" w:space="0" w:color="4472C4"/>
              <w:left w:val="single" w:sz="4" w:space="0" w:color="4472C4"/>
              <w:bottom w:val="single" w:sz="4" w:space="0" w:color="4472C4"/>
              <w:right w:val="single" w:sz="8" w:space="0" w:color="4472C4"/>
            </w:tcBorders>
            <w:shd w:val="clear" w:color="auto" w:fill="auto"/>
            <w:tcMar>
              <w:top w:w="15" w:type="dxa"/>
              <w:left w:w="108" w:type="dxa"/>
              <w:bottom w:w="0" w:type="dxa"/>
              <w:right w:w="108" w:type="dxa"/>
            </w:tcMar>
            <w:vAlign w:val="center"/>
            <w:hideMark/>
          </w:tcPr>
          <w:p w14:paraId="037F3B64" w14:textId="77777777" w:rsidR="00157EFF" w:rsidRPr="00157EFF" w:rsidRDefault="00157EFF" w:rsidP="00157EFF">
            <w:pPr>
              <w:rPr>
                <w:rFonts w:ascii="Arial" w:hAnsi="Arial" w:cs="Arial"/>
                <w:b/>
                <w:bCs/>
                <w:sz w:val="20"/>
                <w:szCs w:val="20"/>
              </w:rPr>
            </w:pPr>
            <w:r w:rsidRPr="00157EFF">
              <w:rPr>
                <w:rFonts w:ascii="Arial" w:hAnsi="Arial" w:cs="Arial"/>
                <w:b/>
                <w:bCs/>
                <w:sz w:val="20"/>
                <w:szCs w:val="20"/>
                <w:lang w:val="en-US"/>
              </w:rPr>
              <w:t>Cyp1b1</w:t>
            </w:r>
          </w:p>
        </w:tc>
        <w:tc>
          <w:tcPr>
            <w:tcW w:w="2840" w:type="dxa"/>
            <w:tcBorders>
              <w:top w:val="single" w:sz="4" w:space="0" w:color="4472C4"/>
              <w:left w:val="single" w:sz="8" w:space="0" w:color="4472C4"/>
              <w:bottom w:val="single" w:sz="4" w:space="0" w:color="4472C4"/>
              <w:right w:val="single" w:sz="4" w:space="0" w:color="4472C4"/>
            </w:tcBorders>
            <w:shd w:val="clear" w:color="auto" w:fill="auto"/>
            <w:tcMar>
              <w:top w:w="15" w:type="dxa"/>
              <w:left w:w="108" w:type="dxa"/>
              <w:bottom w:w="0" w:type="dxa"/>
              <w:right w:w="108" w:type="dxa"/>
            </w:tcMar>
            <w:vAlign w:val="center"/>
            <w:hideMark/>
          </w:tcPr>
          <w:p w14:paraId="43160B2C" w14:textId="77777777" w:rsidR="00157EFF" w:rsidRPr="00157EFF" w:rsidRDefault="00157EFF" w:rsidP="00157EFF">
            <w:pPr>
              <w:rPr>
                <w:rFonts w:ascii="Arial" w:hAnsi="Arial" w:cs="Arial"/>
                <w:b/>
                <w:bCs/>
                <w:sz w:val="20"/>
                <w:szCs w:val="20"/>
              </w:rPr>
            </w:pPr>
            <w:r w:rsidRPr="00157EFF">
              <w:rPr>
                <w:rFonts w:ascii="Arial" w:hAnsi="Arial" w:cs="Arial"/>
                <w:b/>
                <w:bCs/>
                <w:sz w:val="20"/>
                <w:szCs w:val="20"/>
                <w:lang w:val="en-US"/>
              </w:rPr>
              <w:t>Mm00487229_m1</w:t>
            </w:r>
          </w:p>
        </w:tc>
      </w:tr>
      <w:tr w:rsidR="00157EFF" w:rsidRPr="00157EFF" w14:paraId="13EBEC5A" w14:textId="77777777" w:rsidTr="00157EFF">
        <w:tc>
          <w:tcPr>
            <w:tcW w:w="2120" w:type="dxa"/>
            <w:tcBorders>
              <w:top w:val="single" w:sz="4" w:space="0" w:color="4472C4"/>
              <w:left w:val="single" w:sz="4" w:space="0" w:color="4472C4"/>
              <w:bottom w:val="single" w:sz="4" w:space="0" w:color="4472C4"/>
              <w:right w:val="single" w:sz="8" w:space="0" w:color="4472C4"/>
            </w:tcBorders>
            <w:shd w:val="clear" w:color="auto" w:fill="auto"/>
            <w:tcMar>
              <w:top w:w="15" w:type="dxa"/>
              <w:left w:w="108" w:type="dxa"/>
              <w:bottom w:w="0" w:type="dxa"/>
              <w:right w:w="108" w:type="dxa"/>
            </w:tcMar>
            <w:vAlign w:val="center"/>
            <w:hideMark/>
          </w:tcPr>
          <w:p w14:paraId="7C927342" w14:textId="77777777" w:rsidR="00157EFF" w:rsidRPr="00157EFF" w:rsidRDefault="00157EFF" w:rsidP="00157EFF">
            <w:pPr>
              <w:rPr>
                <w:rFonts w:ascii="Arial" w:hAnsi="Arial" w:cs="Arial"/>
                <w:b/>
                <w:bCs/>
                <w:sz w:val="20"/>
                <w:szCs w:val="20"/>
              </w:rPr>
            </w:pPr>
            <w:r w:rsidRPr="00157EFF">
              <w:rPr>
                <w:rFonts w:ascii="Arial" w:hAnsi="Arial" w:cs="Arial"/>
                <w:b/>
                <w:bCs/>
                <w:sz w:val="20"/>
                <w:szCs w:val="20"/>
                <w:lang w:val="en-US"/>
              </w:rPr>
              <w:t>Cyp2e1</w:t>
            </w:r>
          </w:p>
        </w:tc>
        <w:tc>
          <w:tcPr>
            <w:tcW w:w="2840" w:type="dxa"/>
            <w:tcBorders>
              <w:top w:val="single" w:sz="4" w:space="0" w:color="4472C4"/>
              <w:left w:val="single" w:sz="8" w:space="0" w:color="4472C4"/>
              <w:bottom w:val="single" w:sz="4" w:space="0" w:color="4472C4"/>
              <w:right w:val="single" w:sz="4" w:space="0" w:color="4472C4"/>
            </w:tcBorders>
            <w:shd w:val="clear" w:color="auto" w:fill="auto"/>
            <w:tcMar>
              <w:top w:w="15" w:type="dxa"/>
              <w:left w:w="108" w:type="dxa"/>
              <w:bottom w:w="0" w:type="dxa"/>
              <w:right w:w="108" w:type="dxa"/>
            </w:tcMar>
            <w:vAlign w:val="center"/>
            <w:hideMark/>
          </w:tcPr>
          <w:p w14:paraId="195CB080" w14:textId="77777777" w:rsidR="00157EFF" w:rsidRPr="00157EFF" w:rsidRDefault="00157EFF" w:rsidP="00157EFF">
            <w:pPr>
              <w:rPr>
                <w:rFonts w:ascii="Arial" w:hAnsi="Arial" w:cs="Arial"/>
                <w:b/>
                <w:bCs/>
                <w:sz w:val="20"/>
                <w:szCs w:val="20"/>
              </w:rPr>
            </w:pPr>
            <w:r w:rsidRPr="00157EFF">
              <w:rPr>
                <w:rFonts w:ascii="Arial" w:hAnsi="Arial" w:cs="Arial"/>
                <w:b/>
                <w:bCs/>
                <w:sz w:val="20"/>
                <w:szCs w:val="20"/>
                <w:lang w:val="en-US"/>
              </w:rPr>
              <w:t>Mm00491127_m1</w:t>
            </w:r>
          </w:p>
        </w:tc>
      </w:tr>
      <w:tr w:rsidR="00157EFF" w:rsidRPr="00157EFF" w14:paraId="47CFECDB" w14:textId="77777777" w:rsidTr="00157EFF">
        <w:tc>
          <w:tcPr>
            <w:tcW w:w="2120" w:type="dxa"/>
            <w:tcBorders>
              <w:top w:val="single" w:sz="4" w:space="0" w:color="4472C4"/>
              <w:left w:val="single" w:sz="4" w:space="0" w:color="4472C4"/>
              <w:bottom w:val="single" w:sz="4" w:space="0" w:color="4472C4"/>
              <w:right w:val="single" w:sz="8" w:space="0" w:color="4472C4"/>
            </w:tcBorders>
            <w:shd w:val="clear" w:color="auto" w:fill="auto"/>
            <w:tcMar>
              <w:top w:w="15" w:type="dxa"/>
              <w:left w:w="108" w:type="dxa"/>
              <w:bottom w:w="0" w:type="dxa"/>
              <w:right w:w="108" w:type="dxa"/>
            </w:tcMar>
            <w:vAlign w:val="center"/>
            <w:hideMark/>
          </w:tcPr>
          <w:p w14:paraId="5CD707F8" w14:textId="77777777" w:rsidR="00157EFF" w:rsidRPr="00157EFF" w:rsidRDefault="00157EFF" w:rsidP="00157EFF">
            <w:pPr>
              <w:rPr>
                <w:rFonts w:ascii="Arial" w:hAnsi="Arial" w:cs="Arial"/>
                <w:b/>
                <w:bCs/>
                <w:sz w:val="20"/>
                <w:szCs w:val="20"/>
              </w:rPr>
            </w:pPr>
            <w:r w:rsidRPr="00157EFF">
              <w:rPr>
                <w:rFonts w:ascii="Arial" w:hAnsi="Arial" w:cs="Arial"/>
                <w:b/>
                <w:bCs/>
                <w:sz w:val="20"/>
                <w:szCs w:val="20"/>
                <w:lang w:val="en-US"/>
              </w:rPr>
              <w:t>Cyp3a11</w:t>
            </w:r>
          </w:p>
        </w:tc>
        <w:tc>
          <w:tcPr>
            <w:tcW w:w="2840" w:type="dxa"/>
            <w:tcBorders>
              <w:top w:val="single" w:sz="4" w:space="0" w:color="4472C4"/>
              <w:left w:val="single" w:sz="8" w:space="0" w:color="4472C4"/>
              <w:bottom w:val="single" w:sz="4" w:space="0" w:color="4472C4"/>
              <w:right w:val="single" w:sz="4" w:space="0" w:color="4472C4"/>
            </w:tcBorders>
            <w:shd w:val="clear" w:color="auto" w:fill="auto"/>
            <w:tcMar>
              <w:top w:w="15" w:type="dxa"/>
              <w:left w:w="108" w:type="dxa"/>
              <w:bottom w:w="0" w:type="dxa"/>
              <w:right w:w="108" w:type="dxa"/>
            </w:tcMar>
            <w:vAlign w:val="center"/>
            <w:hideMark/>
          </w:tcPr>
          <w:p w14:paraId="405995AD" w14:textId="77777777" w:rsidR="00157EFF" w:rsidRPr="00157EFF" w:rsidRDefault="00157EFF" w:rsidP="00157EFF">
            <w:pPr>
              <w:rPr>
                <w:rFonts w:ascii="Arial" w:hAnsi="Arial" w:cs="Arial"/>
                <w:b/>
                <w:bCs/>
                <w:sz w:val="20"/>
                <w:szCs w:val="20"/>
              </w:rPr>
            </w:pPr>
            <w:r w:rsidRPr="00157EFF">
              <w:rPr>
                <w:rFonts w:ascii="Arial" w:hAnsi="Arial" w:cs="Arial"/>
                <w:b/>
                <w:bCs/>
                <w:sz w:val="20"/>
                <w:szCs w:val="20"/>
                <w:lang w:val="en-US"/>
              </w:rPr>
              <w:t>Mm00731567_m1</w:t>
            </w:r>
          </w:p>
        </w:tc>
      </w:tr>
      <w:tr w:rsidR="00157EFF" w:rsidRPr="00157EFF" w14:paraId="43DFE007" w14:textId="77777777" w:rsidTr="00157EFF">
        <w:tc>
          <w:tcPr>
            <w:tcW w:w="2120" w:type="dxa"/>
            <w:tcBorders>
              <w:top w:val="single" w:sz="4" w:space="0" w:color="4472C4"/>
              <w:left w:val="single" w:sz="4" w:space="0" w:color="4472C4"/>
              <w:bottom w:val="single" w:sz="4" w:space="0" w:color="4472C4"/>
              <w:right w:val="single" w:sz="8" w:space="0" w:color="4472C4"/>
            </w:tcBorders>
            <w:shd w:val="clear" w:color="auto" w:fill="auto"/>
            <w:tcMar>
              <w:top w:w="15" w:type="dxa"/>
              <w:left w:w="108" w:type="dxa"/>
              <w:bottom w:w="0" w:type="dxa"/>
              <w:right w:w="108" w:type="dxa"/>
            </w:tcMar>
            <w:vAlign w:val="center"/>
            <w:hideMark/>
          </w:tcPr>
          <w:p w14:paraId="0EBE73B0" w14:textId="77777777" w:rsidR="00157EFF" w:rsidRPr="00157EFF" w:rsidRDefault="00157EFF" w:rsidP="00157EFF">
            <w:pPr>
              <w:rPr>
                <w:rFonts w:ascii="Arial" w:hAnsi="Arial" w:cs="Arial"/>
                <w:b/>
                <w:bCs/>
                <w:sz w:val="20"/>
                <w:szCs w:val="20"/>
              </w:rPr>
            </w:pPr>
            <w:r w:rsidRPr="00157EFF">
              <w:rPr>
                <w:rFonts w:ascii="Arial" w:hAnsi="Arial" w:cs="Arial"/>
                <w:b/>
                <w:bCs/>
                <w:sz w:val="20"/>
                <w:szCs w:val="20"/>
                <w:lang w:val="en-US"/>
              </w:rPr>
              <w:t>Sult1a1</w:t>
            </w:r>
          </w:p>
        </w:tc>
        <w:tc>
          <w:tcPr>
            <w:tcW w:w="2840" w:type="dxa"/>
            <w:tcBorders>
              <w:top w:val="single" w:sz="4" w:space="0" w:color="4472C4"/>
              <w:left w:val="single" w:sz="8" w:space="0" w:color="4472C4"/>
              <w:bottom w:val="single" w:sz="4" w:space="0" w:color="4472C4"/>
              <w:right w:val="single" w:sz="4" w:space="0" w:color="4472C4"/>
            </w:tcBorders>
            <w:shd w:val="clear" w:color="auto" w:fill="auto"/>
            <w:tcMar>
              <w:top w:w="15" w:type="dxa"/>
              <w:left w:w="108" w:type="dxa"/>
              <w:bottom w:w="0" w:type="dxa"/>
              <w:right w:w="108" w:type="dxa"/>
            </w:tcMar>
            <w:vAlign w:val="center"/>
            <w:hideMark/>
          </w:tcPr>
          <w:p w14:paraId="3B68F085" w14:textId="77777777" w:rsidR="00157EFF" w:rsidRPr="00157EFF" w:rsidRDefault="00157EFF" w:rsidP="00157EFF">
            <w:pPr>
              <w:rPr>
                <w:rFonts w:ascii="Arial" w:hAnsi="Arial" w:cs="Arial"/>
                <w:b/>
                <w:bCs/>
                <w:sz w:val="20"/>
                <w:szCs w:val="20"/>
              </w:rPr>
            </w:pPr>
            <w:r w:rsidRPr="00157EFF">
              <w:rPr>
                <w:rFonts w:ascii="Arial" w:hAnsi="Arial" w:cs="Arial"/>
                <w:b/>
                <w:bCs/>
                <w:sz w:val="20"/>
                <w:szCs w:val="20"/>
                <w:lang w:val="en-US"/>
              </w:rPr>
              <w:t>Mm00467072_m1</w:t>
            </w:r>
          </w:p>
        </w:tc>
      </w:tr>
      <w:tr w:rsidR="00157EFF" w:rsidRPr="00157EFF" w14:paraId="6667732A" w14:textId="77777777" w:rsidTr="00157EFF">
        <w:tc>
          <w:tcPr>
            <w:tcW w:w="2120" w:type="dxa"/>
            <w:tcBorders>
              <w:top w:val="single" w:sz="4" w:space="0" w:color="4472C4"/>
              <w:left w:val="single" w:sz="4" w:space="0" w:color="4472C4"/>
              <w:bottom w:val="single" w:sz="4" w:space="0" w:color="4472C4"/>
              <w:right w:val="single" w:sz="8" w:space="0" w:color="4472C4"/>
            </w:tcBorders>
            <w:shd w:val="clear" w:color="auto" w:fill="auto"/>
            <w:tcMar>
              <w:top w:w="15" w:type="dxa"/>
              <w:left w:w="108" w:type="dxa"/>
              <w:bottom w:w="0" w:type="dxa"/>
              <w:right w:w="108" w:type="dxa"/>
            </w:tcMar>
            <w:vAlign w:val="center"/>
            <w:hideMark/>
          </w:tcPr>
          <w:p w14:paraId="7EA251D8" w14:textId="77777777" w:rsidR="00157EFF" w:rsidRPr="00157EFF" w:rsidRDefault="00157EFF" w:rsidP="00157EFF">
            <w:pPr>
              <w:rPr>
                <w:rFonts w:ascii="Arial" w:hAnsi="Arial" w:cs="Arial"/>
                <w:b/>
                <w:bCs/>
                <w:sz w:val="20"/>
                <w:szCs w:val="20"/>
              </w:rPr>
            </w:pPr>
            <w:r w:rsidRPr="00157EFF">
              <w:rPr>
                <w:rFonts w:ascii="Arial" w:hAnsi="Arial" w:cs="Arial"/>
                <w:b/>
                <w:bCs/>
                <w:sz w:val="20"/>
                <w:szCs w:val="20"/>
                <w:lang w:val="en-US"/>
              </w:rPr>
              <w:t>Slc22a6</w:t>
            </w:r>
          </w:p>
        </w:tc>
        <w:tc>
          <w:tcPr>
            <w:tcW w:w="2840" w:type="dxa"/>
            <w:tcBorders>
              <w:top w:val="single" w:sz="4" w:space="0" w:color="4472C4"/>
              <w:left w:val="single" w:sz="8" w:space="0" w:color="4472C4"/>
              <w:bottom w:val="single" w:sz="4" w:space="0" w:color="4472C4"/>
              <w:right w:val="single" w:sz="4" w:space="0" w:color="4472C4"/>
            </w:tcBorders>
            <w:shd w:val="clear" w:color="auto" w:fill="auto"/>
            <w:tcMar>
              <w:top w:w="15" w:type="dxa"/>
              <w:left w:w="108" w:type="dxa"/>
              <w:bottom w:w="0" w:type="dxa"/>
              <w:right w:w="108" w:type="dxa"/>
            </w:tcMar>
            <w:vAlign w:val="center"/>
            <w:hideMark/>
          </w:tcPr>
          <w:p w14:paraId="342ABB7D" w14:textId="77777777" w:rsidR="00157EFF" w:rsidRPr="00157EFF" w:rsidRDefault="00157EFF" w:rsidP="00157EFF">
            <w:pPr>
              <w:rPr>
                <w:rFonts w:ascii="Arial" w:hAnsi="Arial" w:cs="Arial"/>
                <w:b/>
                <w:bCs/>
                <w:sz w:val="20"/>
                <w:szCs w:val="20"/>
              </w:rPr>
            </w:pPr>
            <w:r w:rsidRPr="00157EFF">
              <w:rPr>
                <w:rFonts w:ascii="Arial" w:hAnsi="Arial" w:cs="Arial"/>
                <w:b/>
                <w:bCs/>
                <w:sz w:val="20"/>
                <w:szCs w:val="20"/>
                <w:lang w:val="en-US"/>
              </w:rPr>
              <w:t>Mm00456258_m1</w:t>
            </w:r>
          </w:p>
        </w:tc>
      </w:tr>
      <w:tr w:rsidR="00157EFF" w:rsidRPr="00157EFF" w14:paraId="464D629F" w14:textId="77777777" w:rsidTr="00157EFF">
        <w:tc>
          <w:tcPr>
            <w:tcW w:w="2120" w:type="dxa"/>
            <w:tcBorders>
              <w:top w:val="single" w:sz="4" w:space="0" w:color="4472C4"/>
              <w:left w:val="single" w:sz="4" w:space="0" w:color="4472C4"/>
              <w:bottom w:val="single" w:sz="4" w:space="0" w:color="4472C4"/>
              <w:right w:val="single" w:sz="8" w:space="0" w:color="4472C4"/>
            </w:tcBorders>
            <w:shd w:val="clear" w:color="auto" w:fill="auto"/>
            <w:tcMar>
              <w:top w:w="15" w:type="dxa"/>
              <w:left w:w="108" w:type="dxa"/>
              <w:bottom w:w="0" w:type="dxa"/>
              <w:right w:w="108" w:type="dxa"/>
            </w:tcMar>
            <w:vAlign w:val="center"/>
            <w:hideMark/>
          </w:tcPr>
          <w:p w14:paraId="29B9FA69" w14:textId="77777777" w:rsidR="00157EFF" w:rsidRPr="00157EFF" w:rsidRDefault="00157EFF" w:rsidP="00157EFF">
            <w:pPr>
              <w:rPr>
                <w:rFonts w:ascii="Arial" w:hAnsi="Arial" w:cs="Arial"/>
                <w:b/>
                <w:bCs/>
                <w:sz w:val="20"/>
                <w:szCs w:val="20"/>
              </w:rPr>
            </w:pPr>
            <w:r w:rsidRPr="00157EFF">
              <w:rPr>
                <w:rFonts w:ascii="Arial" w:hAnsi="Arial" w:cs="Arial"/>
                <w:b/>
                <w:bCs/>
                <w:sz w:val="20"/>
                <w:szCs w:val="20"/>
                <w:lang w:val="en-US"/>
              </w:rPr>
              <w:t>Slc22a8</w:t>
            </w:r>
          </w:p>
        </w:tc>
        <w:tc>
          <w:tcPr>
            <w:tcW w:w="2840" w:type="dxa"/>
            <w:tcBorders>
              <w:top w:val="single" w:sz="4" w:space="0" w:color="4472C4"/>
              <w:left w:val="single" w:sz="8" w:space="0" w:color="4472C4"/>
              <w:bottom w:val="single" w:sz="4" w:space="0" w:color="4472C4"/>
              <w:right w:val="single" w:sz="4" w:space="0" w:color="4472C4"/>
            </w:tcBorders>
            <w:shd w:val="clear" w:color="auto" w:fill="auto"/>
            <w:tcMar>
              <w:top w:w="15" w:type="dxa"/>
              <w:left w:w="108" w:type="dxa"/>
              <w:bottom w:w="0" w:type="dxa"/>
              <w:right w:w="108" w:type="dxa"/>
            </w:tcMar>
            <w:vAlign w:val="center"/>
            <w:hideMark/>
          </w:tcPr>
          <w:p w14:paraId="5EC8540D" w14:textId="77777777" w:rsidR="00157EFF" w:rsidRPr="00157EFF" w:rsidRDefault="00157EFF" w:rsidP="00157EFF">
            <w:pPr>
              <w:rPr>
                <w:rFonts w:ascii="Arial" w:hAnsi="Arial" w:cs="Arial"/>
                <w:b/>
                <w:bCs/>
                <w:sz w:val="20"/>
                <w:szCs w:val="20"/>
              </w:rPr>
            </w:pPr>
            <w:r w:rsidRPr="00157EFF">
              <w:rPr>
                <w:rFonts w:ascii="Arial" w:hAnsi="Arial" w:cs="Arial"/>
                <w:b/>
                <w:bCs/>
                <w:sz w:val="20"/>
                <w:szCs w:val="20"/>
                <w:lang w:val="en-US"/>
              </w:rPr>
              <w:t xml:space="preserve">Mm00459534_m1 </w:t>
            </w:r>
          </w:p>
        </w:tc>
      </w:tr>
    </w:tbl>
    <w:p w14:paraId="5E27CF47" w14:textId="5BA01546" w:rsidR="00157EFF" w:rsidRPr="00157EFF" w:rsidRDefault="00157EFF" w:rsidP="00157EFF">
      <w:pPr>
        <w:kinsoku w:val="0"/>
        <w:overflowPunct w:val="0"/>
        <w:textAlignment w:val="baseline"/>
        <w:rPr>
          <w:rFonts w:ascii="Arial" w:eastAsia="Calibri" w:hAnsi="Arial" w:cs="Arial"/>
          <w:color w:val="000000" w:themeColor="text1"/>
          <w:kern w:val="24"/>
          <w:sz w:val="20"/>
          <w:szCs w:val="20"/>
          <w:lang w:val="en-US"/>
        </w:rPr>
      </w:pPr>
      <w:r w:rsidRPr="00157EFF">
        <w:rPr>
          <w:rFonts w:ascii="Arial" w:eastAsia="Calibri" w:hAnsi="Arial" w:cs="Arial"/>
          <w:b/>
          <w:bCs/>
          <w:color w:val="000000" w:themeColor="text1"/>
          <w:kern w:val="24"/>
          <w:sz w:val="20"/>
          <w:szCs w:val="20"/>
          <w:lang w:val="en-US"/>
        </w:rPr>
        <w:t>Table 1 S</w:t>
      </w:r>
      <w:r>
        <w:rPr>
          <w:rFonts w:ascii="Arial" w:eastAsia="Calibri" w:hAnsi="Arial" w:cs="Arial"/>
          <w:b/>
          <w:bCs/>
          <w:color w:val="000000" w:themeColor="text1"/>
          <w:kern w:val="24"/>
          <w:sz w:val="20"/>
          <w:szCs w:val="20"/>
          <w:lang w:val="en-US"/>
        </w:rPr>
        <w:t xml:space="preserve">upplementary </w:t>
      </w:r>
      <w:r w:rsidRPr="00157EFF">
        <w:rPr>
          <w:rFonts w:ascii="Arial" w:eastAsia="Calibri" w:hAnsi="Arial" w:cs="Arial"/>
          <w:b/>
          <w:bCs/>
          <w:color w:val="000000" w:themeColor="text1"/>
          <w:kern w:val="24"/>
          <w:sz w:val="20"/>
          <w:szCs w:val="20"/>
          <w:lang w:val="en-US"/>
        </w:rPr>
        <w:t>M</w:t>
      </w:r>
      <w:r>
        <w:rPr>
          <w:rFonts w:ascii="Arial" w:eastAsia="Calibri" w:hAnsi="Arial" w:cs="Arial"/>
          <w:b/>
          <w:bCs/>
          <w:color w:val="000000" w:themeColor="text1"/>
          <w:kern w:val="24"/>
          <w:sz w:val="20"/>
          <w:szCs w:val="20"/>
          <w:lang w:val="en-US"/>
        </w:rPr>
        <w:t>aterials</w:t>
      </w:r>
      <w:r w:rsidRPr="00157EFF">
        <w:rPr>
          <w:rFonts w:ascii="Arial" w:eastAsia="Calibri" w:hAnsi="Arial" w:cs="Arial"/>
          <w:b/>
          <w:bCs/>
          <w:color w:val="000000" w:themeColor="text1"/>
          <w:kern w:val="24"/>
          <w:sz w:val="20"/>
          <w:szCs w:val="20"/>
          <w:lang w:val="en-US"/>
        </w:rPr>
        <w:t xml:space="preserve">. </w:t>
      </w:r>
      <w:r w:rsidRPr="00157EFF">
        <w:rPr>
          <w:rFonts w:ascii="Arial" w:eastAsia="Calibri" w:hAnsi="Arial" w:cs="Arial"/>
          <w:color w:val="000000" w:themeColor="text1"/>
          <w:kern w:val="24"/>
          <w:sz w:val="20"/>
          <w:szCs w:val="20"/>
          <w:lang w:val="en-US"/>
        </w:rPr>
        <w:t>List of TaqMan probes references used in qPCR experiments </w:t>
      </w:r>
    </w:p>
    <w:p w14:paraId="6CBC4E19" w14:textId="77777777" w:rsidR="00157EFF" w:rsidRPr="00C24D2D" w:rsidRDefault="00157EFF">
      <w:pPr>
        <w:rPr>
          <w:rFonts w:ascii="Arial" w:hAnsi="Arial" w:cs="Arial"/>
          <w:b/>
          <w:bCs/>
          <w:sz w:val="20"/>
          <w:szCs w:val="20"/>
          <w:lang w:val="en-US"/>
        </w:rPr>
      </w:pPr>
    </w:p>
    <w:p w14:paraId="024A169D" w14:textId="77777777" w:rsidR="00157EFF" w:rsidRPr="00C24D2D" w:rsidRDefault="00157EFF">
      <w:pPr>
        <w:rPr>
          <w:rFonts w:ascii="Arial" w:hAnsi="Arial" w:cs="Arial"/>
          <w:b/>
          <w:bCs/>
          <w:sz w:val="20"/>
          <w:szCs w:val="20"/>
          <w:lang w:val="en-US"/>
        </w:rPr>
      </w:pPr>
    </w:p>
    <w:p w14:paraId="425CD399" w14:textId="77777777" w:rsidR="00157EFF" w:rsidRPr="00C24D2D" w:rsidRDefault="00157EFF">
      <w:pPr>
        <w:rPr>
          <w:rFonts w:ascii="Arial" w:hAnsi="Arial" w:cs="Arial"/>
          <w:b/>
          <w:bCs/>
          <w:sz w:val="20"/>
          <w:szCs w:val="20"/>
          <w:lang w:val="en-US"/>
        </w:rPr>
      </w:pPr>
    </w:p>
    <w:p w14:paraId="55E77B90" w14:textId="77777777" w:rsidR="00157EFF" w:rsidRPr="00C24D2D" w:rsidRDefault="00157EFF">
      <w:pPr>
        <w:rPr>
          <w:rFonts w:ascii="Arial" w:hAnsi="Arial" w:cs="Arial"/>
          <w:b/>
          <w:bCs/>
          <w:sz w:val="20"/>
          <w:szCs w:val="20"/>
          <w:lang w:val="en-US"/>
        </w:rPr>
      </w:pPr>
    </w:p>
    <w:p w14:paraId="2FA83C27" w14:textId="77777777" w:rsidR="00157EFF" w:rsidRPr="00C24D2D" w:rsidRDefault="00157EFF">
      <w:pPr>
        <w:rPr>
          <w:rFonts w:ascii="Arial" w:hAnsi="Arial" w:cs="Arial"/>
          <w:b/>
          <w:bCs/>
          <w:sz w:val="20"/>
          <w:szCs w:val="20"/>
          <w:lang w:val="en-US"/>
        </w:rPr>
      </w:pPr>
    </w:p>
    <w:p w14:paraId="190EB6C4" w14:textId="77777777" w:rsidR="00157EFF" w:rsidRPr="00C24D2D" w:rsidRDefault="00157EFF">
      <w:pPr>
        <w:rPr>
          <w:rFonts w:ascii="Arial" w:hAnsi="Arial" w:cs="Arial"/>
          <w:b/>
          <w:bCs/>
          <w:sz w:val="20"/>
          <w:szCs w:val="20"/>
          <w:lang w:val="en-US"/>
        </w:rPr>
      </w:pPr>
    </w:p>
    <w:p w14:paraId="0C6AC4DA" w14:textId="77777777" w:rsidR="00157EFF" w:rsidRPr="00C24D2D" w:rsidRDefault="00157EFF">
      <w:pPr>
        <w:rPr>
          <w:rFonts w:ascii="Arial" w:hAnsi="Arial" w:cs="Arial"/>
          <w:b/>
          <w:bCs/>
          <w:sz w:val="20"/>
          <w:szCs w:val="20"/>
          <w:lang w:val="en-US"/>
        </w:rPr>
      </w:pPr>
    </w:p>
    <w:p w14:paraId="0334F825" w14:textId="77777777" w:rsidR="00157EFF" w:rsidRPr="00C24D2D" w:rsidRDefault="00157EFF">
      <w:pPr>
        <w:rPr>
          <w:rFonts w:ascii="Arial" w:hAnsi="Arial" w:cs="Arial"/>
          <w:b/>
          <w:bCs/>
          <w:sz w:val="20"/>
          <w:szCs w:val="20"/>
          <w:lang w:val="en-US"/>
        </w:rPr>
      </w:pPr>
    </w:p>
    <w:p w14:paraId="4F23367E" w14:textId="77777777" w:rsidR="00157EFF" w:rsidRPr="00C24D2D" w:rsidRDefault="00157EFF">
      <w:pPr>
        <w:rPr>
          <w:rFonts w:ascii="Arial" w:hAnsi="Arial" w:cs="Arial"/>
          <w:b/>
          <w:bCs/>
          <w:sz w:val="20"/>
          <w:szCs w:val="20"/>
          <w:lang w:val="en-US"/>
        </w:rPr>
      </w:pPr>
    </w:p>
    <w:p w14:paraId="16021872" w14:textId="77777777" w:rsidR="00157EFF" w:rsidRPr="00C24D2D" w:rsidRDefault="00157EFF">
      <w:pPr>
        <w:rPr>
          <w:rFonts w:ascii="Arial" w:hAnsi="Arial" w:cs="Arial"/>
          <w:b/>
          <w:bCs/>
          <w:sz w:val="20"/>
          <w:szCs w:val="20"/>
          <w:lang w:val="en-US"/>
        </w:rPr>
      </w:pPr>
    </w:p>
    <w:p w14:paraId="1B80A2D7" w14:textId="77777777" w:rsidR="00157EFF" w:rsidRPr="00C24D2D" w:rsidRDefault="00157EFF">
      <w:pPr>
        <w:rPr>
          <w:rFonts w:ascii="Arial" w:hAnsi="Arial" w:cs="Arial"/>
          <w:b/>
          <w:bCs/>
          <w:sz w:val="20"/>
          <w:szCs w:val="20"/>
          <w:lang w:val="en-US"/>
        </w:rPr>
      </w:pPr>
    </w:p>
    <w:p w14:paraId="1462861F" w14:textId="77777777" w:rsidR="00157EFF" w:rsidRPr="00C24D2D" w:rsidRDefault="00157EFF">
      <w:pPr>
        <w:rPr>
          <w:rFonts w:ascii="Arial" w:hAnsi="Arial" w:cs="Arial"/>
          <w:b/>
          <w:bCs/>
          <w:sz w:val="20"/>
          <w:szCs w:val="20"/>
          <w:lang w:val="en-US"/>
        </w:rPr>
      </w:pPr>
    </w:p>
    <w:p w14:paraId="3C8FE9AB" w14:textId="07E0B84F" w:rsidR="00157EFF" w:rsidRPr="00C24D2D" w:rsidRDefault="00157EFF">
      <w:pPr>
        <w:rPr>
          <w:rFonts w:ascii="Arial" w:hAnsi="Arial" w:cs="Arial"/>
          <w:b/>
          <w:bCs/>
          <w:sz w:val="20"/>
          <w:szCs w:val="20"/>
          <w:lang w:val="en-US"/>
        </w:rPr>
      </w:pPr>
    </w:p>
    <w:p w14:paraId="530B6060" w14:textId="767D2D1F" w:rsidR="00157EFF" w:rsidRPr="00C24D2D" w:rsidRDefault="00157EFF">
      <w:pPr>
        <w:rPr>
          <w:rFonts w:ascii="Arial" w:hAnsi="Arial" w:cs="Arial"/>
          <w:b/>
          <w:bCs/>
          <w:sz w:val="20"/>
          <w:szCs w:val="20"/>
          <w:lang w:val="en-US"/>
        </w:rPr>
      </w:pPr>
    </w:p>
    <w:p w14:paraId="3B38EDD5" w14:textId="1208C9B1" w:rsidR="00157EFF" w:rsidRPr="00C24D2D" w:rsidRDefault="00157EFF">
      <w:pPr>
        <w:rPr>
          <w:rFonts w:ascii="Arial" w:hAnsi="Arial" w:cs="Arial"/>
          <w:b/>
          <w:bCs/>
          <w:sz w:val="20"/>
          <w:szCs w:val="20"/>
          <w:lang w:val="en-US"/>
        </w:rPr>
      </w:pPr>
    </w:p>
    <w:p w14:paraId="762E3F73" w14:textId="674508CC" w:rsidR="00157EFF" w:rsidRPr="00C24D2D" w:rsidRDefault="00157EFF">
      <w:pPr>
        <w:rPr>
          <w:rFonts w:ascii="Arial" w:hAnsi="Arial" w:cs="Arial"/>
          <w:b/>
          <w:bCs/>
          <w:sz w:val="20"/>
          <w:szCs w:val="20"/>
          <w:lang w:val="en-US"/>
        </w:rPr>
      </w:pPr>
    </w:p>
    <w:p w14:paraId="5E6F7B36" w14:textId="75D69F2E" w:rsidR="00157EFF" w:rsidRPr="00C24D2D" w:rsidRDefault="00157EFF">
      <w:pPr>
        <w:rPr>
          <w:rFonts w:ascii="Arial" w:hAnsi="Arial" w:cs="Arial"/>
          <w:b/>
          <w:bCs/>
          <w:sz w:val="20"/>
          <w:szCs w:val="20"/>
          <w:lang w:val="en-US"/>
        </w:rPr>
      </w:pPr>
    </w:p>
    <w:p w14:paraId="45A59C60" w14:textId="7D6CE1AB" w:rsidR="00157EFF" w:rsidRPr="00C24D2D" w:rsidRDefault="00157EFF">
      <w:pPr>
        <w:rPr>
          <w:rFonts w:ascii="Arial" w:hAnsi="Arial" w:cs="Arial"/>
          <w:b/>
          <w:bCs/>
          <w:sz w:val="20"/>
          <w:szCs w:val="20"/>
          <w:lang w:val="en-US"/>
        </w:rPr>
      </w:pPr>
    </w:p>
    <w:p w14:paraId="551A524F" w14:textId="6DD47DD5" w:rsidR="00157EFF" w:rsidRPr="00C24D2D" w:rsidRDefault="00157EFF">
      <w:pPr>
        <w:rPr>
          <w:rFonts w:ascii="Arial" w:hAnsi="Arial" w:cs="Arial"/>
          <w:b/>
          <w:bCs/>
          <w:sz w:val="20"/>
          <w:szCs w:val="20"/>
          <w:lang w:val="en-US"/>
        </w:rPr>
      </w:pPr>
    </w:p>
    <w:p w14:paraId="0BEC4C1E" w14:textId="0330D892" w:rsidR="00157EFF" w:rsidRPr="00C24D2D" w:rsidRDefault="00157EFF">
      <w:pPr>
        <w:rPr>
          <w:rFonts w:ascii="Arial" w:hAnsi="Arial" w:cs="Arial"/>
          <w:b/>
          <w:bCs/>
          <w:sz w:val="20"/>
          <w:szCs w:val="20"/>
          <w:lang w:val="en-US"/>
        </w:rPr>
      </w:pPr>
    </w:p>
    <w:p w14:paraId="03F0F8F6" w14:textId="4E8BB761" w:rsidR="00157EFF" w:rsidRPr="00C24D2D" w:rsidRDefault="00157EFF">
      <w:pPr>
        <w:rPr>
          <w:rFonts w:ascii="Arial" w:hAnsi="Arial" w:cs="Arial"/>
          <w:b/>
          <w:bCs/>
          <w:sz w:val="20"/>
          <w:szCs w:val="20"/>
          <w:lang w:val="en-US"/>
        </w:rPr>
      </w:pPr>
    </w:p>
    <w:p w14:paraId="6106F60B" w14:textId="6319F18A" w:rsidR="00157EFF" w:rsidRPr="00C24D2D" w:rsidRDefault="00157EFF">
      <w:pPr>
        <w:rPr>
          <w:rFonts w:ascii="Arial" w:hAnsi="Arial" w:cs="Arial"/>
          <w:b/>
          <w:bCs/>
          <w:sz w:val="20"/>
          <w:szCs w:val="20"/>
          <w:lang w:val="en-US"/>
        </w:rPr>
      </w:pPr>
    </w:p>
    <w:p w14:paraId="75542A66" w14:textId="38EB8124" w:rsidR="00157EFF" w:rsidRPr="00C24D2D" w:rsidRDefault="00157EFF">
      <w:pPr>
        <w:rPr>
          <w:rFonts w:ascii="Arial" w:hAnsi="Arial" w:cs="Arial"/>
          <w:b/>
          <w:bCs/>
          <w:sz w:val="20"/>
          <w:szCs w:val="20"/>
          <w:lang w:val="en-US"/>
        </w:rPr>
      </w:pPr>
    </w:p>
    <w:p w14:paraId="3DC6261C" w14:textId="75B0C674" w:rsidR="00157EFF" w:rsidRPr="00C24D2D" w:rsidRDefault="00157EFF">
      <w:pPr>
        <w:rPr>
          <w:rFonts w:ascii="Arial" w:hAnsi="Arial" w:cs="Arial"/>
          <w:b/>
          <w:bCs/>
          <w:sz w:val="20"/>
          <w:szCs w:val="20"/>
          <w:lang w:val="en-US"/>
        </w:rPr>
      </w:pPr>
    </w:p>
    <w:p w14:paraId="19BA3885" w14:textId="1816FAD8" w:rsidR="00157EFF" w:rsidRPr="00C24D2D" w:rsidRDefault="00157EFF">
      <w:pPr>
        <w:rPr>
          <w:rFonts w:ascii="Arial" w:hAnsi="Arial" w:cs="Arial"/>
          <w:b/>
          <w:bCs/>
          <w:sz w:val="20"/>
          <w:szCs w:val="20"/>
          <w:lang w:val="en-US"/>
        </w:rPr>
      </w:pPr>
    </w:p>
    <w:p w14:paraId="44A1F09B" w14:textId="139856BC" w:rsidR="00157EFF" w:rsidRPr="00C24D2D" w:rsidRDefault="00157EFF">
      <w:pPr>
        <w:rPr>
          <w:rFonts w:ascii="Arial" w:hAnsi="Arial" w:cs="Arial"/>
          <w:b/>
          <w:bCs/>
          <w:sz w:val="20"/>
          <w:szCs w:val="20"/>
          <w:lang w:val="en-US"/>
        </w:rPr>
      </w:pPr>
    </w:p>
    <w:p w14:paraId="56441767" w14:textId="0D42B199" w:rsidR="00157EFF" w:rsidRPr="00C24D2D" w:rsidRDefault="00157EFF">
      <w:pPr>
        <w:rPr>
          <w:rFonts w:ascii="Arial" w:hAnsi="Arial" w:cs="Arial"/>
          <w:b/>
          <w:bCs/>
          <w:sz w:val="20"/>
          <w:szCs w:val="20"/>
          <w:lang w:val="en-US"/>
        </w:rPr>
      </w:pPr>
    </w:p>
    <w:p w14:paraId="52A3F2A1" w14:textId="769FDF3B" w:rsidR="00157EFF" w:rsidRPr="00C24D2D" w:rsidRDefault="00157EFF">
      <w:pPr>
        <w:rPr>
          <w:rFonts w:ascii="Arial" w:hAnsi="Arial" w:cs="Arial"/>
          <w:b/>
          <w:bCs/>
          <w:sz w:val="20"/>
          <w:szCs w:val="20"/>
          <w:lang w:val="en-US"/>
        </w:rPr>
      </w:pPr>
    </w:p>
    <w:p w14:paraId="6E43C4FB" w14:textId="77777777" w:rsidR="00157EFF" w:rsidRPr="00C24D2D" w:rsidRDefault="00157EFF">
      <w:pPr>
        <w:rPr>
          <w:rFonts w:ascii="Arial" w:hAnsi="Arial" w:cs="Arial"/>
          <w:b/>
          <w:bCs/>
          <w:sz w:val="20"/>
          <w:szCs w:val="20"/>
          <w:lang w:val="en-US"/>
        </w:rPr>
      </w:pPr>
    </w:p>
    <w:p w14:paraId="4FF102E0" w14:textId="77777777" w:rsidR="00157EFF" w:rsidRPr="00C24D2D" w:rsidRDefault="00157EFF">
      <w:pPr>
        <w:rPr>
          <w:rFonts w:ascii="Arial" w:hAnsi="Arial" w:cs="Arial"/>
          <w:b/>
          <w:bCs/>
          <w:sz w:val="20"/>
          <w:szCs w:val="20"/>
          <w:lang w:val="en-US"/>
        </w:rPr>
      </w:pPr>
    </w:p>
    <w:p w14:paraId="5E21B42A" w14:textId="77777777" w:rsidR="00371F6F" w:rsidRDefault="00371F6F" w:rsidP="00371F6F">
      <w:pPr>
        <w:rPr>
          <w:rFonts w:ascii="Arial" w:hAnsi="Arial" w:cs="Arial"/>
          <w:b/>
          <w:bCs/>
          <w:sz w:val="20"/>
          <w:szCs w:val="20"/>
          <w:lang w:val="en-US"/>
        </w:rPr>
      </w:pPr>
    </w:p>
    <w:p w14:paraId="5FDA4A5F" w14:textId="77777777" w:rsidR="00371F6F" w:rsidRDefault="00371F6F" w:rsidP="00371F6F">
      <w:pPr>
        <w:rPr>
          <w:rFonts w:ascii="Arial" w:hAnsi="Arial" w:cs="Arial"/>
          <w:b/>
          <w:bCs/>
          <w:sz w:val="20"/>
          <w:szCs w:val="20"/>
          <w:lang w:val="en-US"/>
        </w:rPr>
      </w:pPr>
    </w:p>
    <w:p w14:paraId="746CFF89" w14:textId="4E098FB1" w:rsidR="00371F6F" w:rsidRPr="00371F6F" w:rsidRDefault="00371F6F" w:rsidP="00371F6F">
      <w:pPr>
        <w:rPr>
          <w:rFonts w:ascii="Arial" w:hAnsi="Arial" w:cs="Arial"/>
          <w:b/>
          <w:bCs/>
          <w:sz w:val="20"/>
          <w:szCs w:val="20"/>
          <w:lang w:val="en-US"/>
        </w:rPr>
      </w:pPr>
      <w:r w:rsidRPr="00371F6F">
        <w:rPr>
          <w:rFonts w:ascii="Arial" w:hAnsi="Arial" w:cs="Arial"/>
          <w:b/>
          <w:bCs/>
          <w:sz w:val="20"/>
          <w:szCs w:val="20"/>
          <w:lang w:val="en-US"/>
        </w:rPr>
        <w:lastRenderedPageBreak/>
        <w:t>SUPPLEMENTARY DA</w:t>
      </w:r>
      <w:r>
        <w:rPr>
          <w:rFonts w:ascii="Arial" w:hAnsi="Arial" w:cs="Arial"/>
          <w:b/>
          <w:bCs/>
          <w:sz w:val="20"/>
          <w:szCs w:val="20"/>
          <w:lang w:val="en-US"/>
        </w:rPr>
        <w:t>TA</w:t>
      </w:r>
    </w:p>
    <w:p w14:paraId="12516095" w14:textId="77777777" w:rsidR="00157EFF" w:rsidRPr="00371F6F" w:rsidRDefault="00157EFF">
      <w:pPr>
        <w:rPr>
          <w:rFonts w:ascii="Arial" w:hAnsi="Arial" w:cs="Arial"/>
          <w:b/>
          <w:bCs/>
          <w:sz w:val="20"/>
          <w:szCs w:val="20"/>
          <w:lang w:val="en-US"/>
        </w:rPr>
      </w:pPr>
    </w:p>
    <w:p w14:paraId="56B41D61" w14:textId="05D8B567" w:rsidR="00157EFF" w:rsidRDefault="00157EFF" w:rsidP="00157EFF">
      <w:pPr>
        <w:pStyle w:val="NormalWeb"/>
        <w:spacing w:before="0" w:beforeAutospacing="0" w:after="90" w:afterAutospacing="0" w:line="480" w:lineRule="auto"/>
        <w:jc w:val="both"/>
        <w:rPr>
          <w:rFonts w:ascii="Arial" w:eastAsia="Calibri" w:hAnsi="Arial"/>
          <w:color w:val="000000" w:themeColor="text1"/>
          <w:kern w:val="24"/>
          <w:sz w:val="20"/>
          <w:szCs w:val="20"/>
          <w:lang w:val="en-US"/>
        </w:rPr>
      </w:pPr>
      <w:r w:rsidRPr="00157EFF">
        <w:rPr>
          <w:rFonts w:ascii="Arial" w:eastAsia="Calibri" w:hAnsi="Arial"/>
          <w:b/>
          <w:bCs/>
          <w:color w:val="000000" w:themeColor="text1"/>
          <w:kern w:val="24"/>
          <w:sz w:val="20"/>
          <w:szCs w:val="20"/>
          <w:lang w:val="en-US"/>
        </w:rPr>
        <w:t>Figure 1</w:t>
      </w:r>
      <w:r>
        <w:rPr>
          <w:rFonts w:ascii="Arial" w:eastAsia="Calibri" w:hAnsi="Arial"/>
          <w:b/>
          <w:bCs/>
          <w:color w:val="000000" w:themeColor="text1"/>
          <w:kern w:val="24"/>
          <w:sz w:val="20"/>
          <w:szCs w:val="20"/>
          <w:lang w:val="en-US"/>
        </w:rPr>
        <w:t xml:space="preserve"> </w:t>
      </w:r>
      <w:r w:rsidRPr="00157EFF">
        <w:rPr>
          <w:rFonts w:ascii="Arial" w:eastAsia="Calibri" w:hAnsi="Arial"/>
          <w:b/>
          <w:bCs/>
          <w:color w:val="000000" w:themeColor="text1"/>
          <w:kern w:val="24"/>
          <w:sz w:val="20"/>
          <w:szCs w:val="20"/>
          <w:lang w:val="en-US"/>
        </w:rPr>
        <w:t>S</w:t>
      </w:r>
      <w:r>
        <w:rPr>
          <w:rFonts w:ascii="Arial" w:eastAsia="Calibri" w:hAnsi="Arial"/>
          <w:b/>
          <w:bCs/>
          <w:color w:val="000000" w:themeColor="text1"/>
          <w:kern w:val="24"/>
          <w:sz w:val="20"/>
          <w:szCs w:val="20"/>
          <w:lang w:val="en-US"/>
        </w:rPr>
        <w:t>upplementary Data</w:t>
      </w:r>
      <w:r w:rsidRPr="00157EFF">
        <w:rPr>
          <w:rFonts w:ascii="Arial" w:eastAsia="Calibri" w:hAnsi="Arial"/>
          <w:b/>
          <w:bCs/>
          <w:color w:val="000000" w:themeColor="text1"/>
          <w:kern w:val="24"/>
          <w:sz w:val="20"/>
          <w:szCs w:val="20"/>
          <w:lang w:val="en-US"/>
        </w:rPr>
        <w:t xml:space="preserve">. Graphic representation of the transporters and metabolic enzymes studied. </w:t>
      </w:r>
      <w:r w:rsidRPr="00157EFF">
        <w:rPr>
          <w:rFonts w:ascii="Arial" w:eastAsia="Calibri" w:hAnsi="Arial"/>
          <w:color w:val="000000" w:themeColor="text1"/>
          <w:kern w:val="24"/>
          <w:sz w:val="20"/>
          <w:szCs w:val="20"/>
          <w:lang w:val="en-US"/>
        </w:rPr>
        <w:t xml:space="preserve">Every organ studied on the mice trial is represented, as well as clarification on the transportation flow of the different transporters. </w:t>
      </w:r>
    </w:p>
    <w:p w14:paraId="3657581E" w14:textId="6FFA4A2C" w:rsidR="00157EFF" w:rsidRDefault="00157EFF" w:rsidP="00157EFF">
      <w:pPr>
        <w:pStyle w:val="NormalWeb"/>
        <w:spacing w:before="0" w:beforeAutospacing="0" w:after="90" w:afterAutospacing="0" w:line="480" w:lineRule="auto"/>
        <w:jc w:val="both"/>
        <w:rPr>
          <w:rFonts w:ascii="Arial" w:eastAsia="Calibri" w:hAnsi="Arial"/>
          <w:color w:val="000000" w:themeColor="text1"/>
          <w:kern w:val="24"/>
          <w:sz w:val="20"/>
          <w:szCs w:val="20"/>
          <w:lang w:val="en-US"/>
        </w:rPr>
      </w:pPr>
      <w:r w:rsidRPr="00157EFF">
        <w:rPr>
          <w:noProof/>
          <w:color w:val="000000" w:themeColor="text1"/>
          <w:sz w:val="20"/>
          <w:szCs w:val="20"/>
        </w:rPr>
        <w:drawing>
          <wp:inline distT="0" distB="0" distL="0" distR="0" wp14:anchorId="6FFC6F18" wp14:editId="6F975045">
            <wp:extent cx="5629275" cy="4629150"/>
            <wp:effectExtent l="0" t="0" r="9525" b="0"/>
            <wp:docPr id="2" name="Image 1">
              <a:extLst xmlns:a="http://schemas.openxmlformats.org/drawingml/2006/main">
                <a:ext uri="{FF2B5EF4-FFF2-40B4-BE49-F238E27FC236}">
                  <a16:creationId xmlns:a16="http://schemas.microsoft.com/office/drawing/2014/main" id="{96FF6009-47AD-461F-AFD8-D9E2CC56AE6B}"/>
                </a:ext>
              </a:extLst>
            </wp:docPr>
            <wp:cNvGraphicFramePr/>
            <a:graphic xmlns:a="http://schemas.openxmlformats.org/drawingml/2006/main">
              <a:graphicData uri="http://schemas.openxmlformats.org/drawingml/2006/picture">
                <pic:pic xmlns:pic="http://schemas.openxmlformats.org/drawingml/2006/picture">
                  <pic:nvPicPr>
                    <pic:cNvPr id="2" name="Image 1">
                      <a:extLst>
                        <a:ext uri="{FF2B5EF4-FFF2-40B4-BE49-F238E27FC236}">
                          <a16:creationId xmlns:a16="http://schemas.microsoft.com/office/drawing/2014/main" id="{96FF6009-47AD-461F-AFD8-D9E2CC56AE6B}"/>
                        </a:ext>
                      </a:extLst>
                    </pic:cNvPr>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629275" cy="4629150"/>
                    </a:xfrm>
                    <a:prstGeom prst="rect">
                      <a:avLst/>
                    </a:prstGeom>
                    <a:noFill/>
                  </pic:spPr>
                </pic:pic>
              </a:graphicData>
            </a:graphic>
          </wp:inline>
        </w:drawing>
      </w:r>
    </w:p>
    <w:p w14:paraId="41A7D4F3" w14:textId="49DCDE39" w:rsidR="00157EFF" w:rsidRDefault="00C24D2D" w:rsidP="00C24D2D">
      <w:pPr>
        <w:pStyle w:val="NormalWeb"/>
        <w:spacing w:before="0" w:beforeAutospacing="0" w:after="90" w:afterAutospacing="0" w:line="480" w:lineRule="auto"/>
        <w:jc w:val="both"/>
        <w:rPr>
          <w:rFonts w:ascii="Arial" w:eastAsia="Calibri" w:hAnsi="Arial"/>
          <w:color w:val="000000" w:themeColor="text1"/>
          <w:kern w:val="24"/>
          <w:sz w:val="20"/>
          <w:szCs w:val="20"/>
          <w:lang w:val="en-US"/>
        </w:rPr>
      </w:pPr>
      <w:r w:rsidRPr="00E87733">
        <w:rPr>
          <w:rFonts w:ascii="Arial" w:hAnsi="Arial" w:cs="Arial"/>
          <w:sz w:val="18"/>
          <w:szCs w:val="18"/>
          <w:lang w:val="en-US"/>
        </w:rPr>
        <w:t xml:space="preserve">Every organ studied on the mice trial is represented, as well as clarification on the transportation flow of the different transporters. </w:t>
      </w:r>
      <w:r w:rsidRPr="00E87733">
        <w:rPr>
          <w:rFonts w:ascii="Arial" w:hAnsi="Arial" w:cs="Arial"/>
          <w:b/>
          <w:i/>
          <w:sz w:val="18"/>
          <w:szCs w:val="18"/>
          <w:lang w:val="en-US"/>
        </w:rPr>
        <w:t>Abcb1a</w:t>
      </w:r>
      <w:r w:rsidRPr="00E87733">
        <w:rPr>
          <w:rFonts w:ascii="Arial" w:hAnsi="Arial" w:cs="Arial"/>
          <w:sz w:val="18"/>
          <w:szCs w:val="18"/>
          <w:lang w:val="en-US"/>
        </w:rPr>
        <w:t xml:space="preserve"> and </w:t>
      </w:r>
      <w:r w:rsidRPr="00E87733">
        <w:rPr>
          <w:rFonts w:ascii="Arial" w:hAnsi="Arial" w:cs="Arial"/>
          <w:b/>
          <w:i/>
          <w:sz w:val="18"/>
          <w:szCs w:val="18"/>
          <w:lang w:val="en-US"/>
        </w:rPr>
        <w:t>Abcb1b</w:t>
      </w:r>
      <w:r w:rsidRPr="00E87733">
        <w:rPr>
          <w:rFonts w:ascii="Arial" w:hAnsi="Arial" w:cs="Arial"/>
          <w:sz w:val="18"/>
          <w:szCs w:val="18"/>
          <w:lang w:val="en-US"/>
        </w:rPr>
        <w:t xml:space="preserve"> encode for P-glycoprotein and they belong to </w:t>
      </w:r>
      <w:r>
        <w:rPr>
          <w:rFonts w:ascii="Arial" w:hAnsi="Arial" w:cs="Arial"/>
          <w:sz w:val="18"/>
          <w:szCs w:val="18"/>
          <w:lang w:val="en-US"/>
        </w:rPr>
        <w:t>t</w:t>
      </w:r>
      <w:r w:rsidRPr="00E87733">
        <w:rPr>
          <w:rFonts w:ascii="Arial" w:hAnsi="Arial" w:cs="Arial"/>
          <w:sz w:val="18"/>
          <w:szCs w:val="18"/>
          <w:lang w:val="en-US"/>
        </w:rPr>
        <w:t>he multidrug resistance phosphoglycoprotein ATP-binding cassette subfamily B (ABCB1) which actively excretes structurally and functionally distinct xenobiotics</w:t>
      </w:r>
      <w:r w:rsidRPr="00E87733">
        <w:rPr>
          <w:rFonts w:ascii="Arial" w:hAnsi="Arial" w:cs="Arial"/>
          <w:sz w:val="18"/>
          <w:szCs w:val="18"/>
          <w:lang w:val="en-US"/>
        </w:rPr>
        <w:fldChar w:fldCharType="begin"/>
      </w:r>
      <w:r>
        <w:rPr>
          <w:rFonts w:ascii="Arial" w:hAnsi="Arial" w:cs="Arial"/>
          <w:sz w:val="18"/>
          <w:szCs w:val="18"/>
          <w:lang w:val="en-US"/>
        </w:rPr>
        <w:instrText xml:space="preserve"> ADDIN ZOTERO_ITEM CSL_CITATION {"citationID":"Zi6ryqT1","properties":{"formattedCitation":"[64]","plainCitation":"[64]","noteIndex":0},"citationItems":[{"id":65,"uris":["http://zotero.org/users/local/95wI72Ic/items/E6GQ3FTG",["http://zotero.org/users/local/95wI72Ic/items/E6GQ3FTG"],["http://zotero.org/users/local/95wI72Ic/items/E6GQ3FTG",["http://zotero.org/users/local/95wI72Ic/items/E6GQ3FTG"]]],"itemData":{"id":65,"type":"article-journal","abstract":"During spermatogenesis, immature spermatocytes traverse the blood–testis barrier (BTB) and enter the apical apartment of seminiferous epithelium for further development. This course involves extensive junction disassembly and reassembly at the BTB. P-glycoprotein is known to be coded by two genes in rodents, namely Abcb1a and Abcb1b. Our previous studies showed that simultaneously silencing Abcb1a and Abcb1b genes in Sertoli cells impeded BTB integrity. However, the individual role of Abcb1a and Abcb1b in regulating BTB dynamics remains uninvestigated. Here, single knockdown of Abcb1a by RNAi impeded the in vitro Sertoli cell permeability barrier via redistributing TJ proteins, accelerating endocytosis, and affecting endocytic vesicle-mediated protein transportation that undermined Sertoli cell barrier. F5-peptide model was used to induce cell junction disruption and subsequent restructuring in primary Sertoli cells. F5-peptide perturbed this barrier, but its removal allowed barrier ‘resealing’. Abcb1b knockdown was found to inhibit barrier resealing following F5-peptide removal by suppressing the restore of the expression and distribution of junction proteins at BTB, and reducing the migration of internalized junction proteins back to Sertoli cell interface. In summary, Abcb1a is critical in maintaining BTB integrity, while Abcb1b is crucial for junction reassembly at the BTB.","container-title":"Cell Death &amp; Disease","DOI":"10.1038/cddis.2017.435","ISSN":"2041-4889","issue":"9","journalAbbreviation":"Cell Death Dis","language":"en","license":"2017 The Author(s)","note":"number: 9\npublisher: Nature Publishing Group","page":"e3038-e3038","source":"www.nature.com","title":"Abcb1a and Abcb1b genes function differentially in blood–testis barrier dynamics in the rat","volume":"8","author":[{"family":"Su","given":"Linlin"},{"family":"Cheng","given":"Yan C."},{"family":"Lee","given":"Will M."},{"family":"Zhang","given":"Min"},{"family":"Yang","given":"Fangfang"},{"family":"Zhao","given":"Bin"},{"family":"Han","given":"Daishu"},{"family":"Liu","given":"Yixun"},{"family":"Hu","given":"Dahai"}],"issued":{"date-parts":[["2017",9]]}}}],"schema":"https://github.com/citation-style-language/schema/raw/master/csl-citation.json"} </w:instrText>
      </w:r>
      <w:r w:rsidRPr="00E87733">
        <w:rPr>
          <w:rFonts w:ascii="Arial" w:hAnsi="Arial" w:cs="Arial"/>
          <w:sz w:val="18"/>
          <w:szCs w:val="18"/>
          <w:lang w:val="en-US"/>
        </w:rPr>
        <w:fldChar w:fldCharType="separate"/>
      </w:r>
      <w:r w:rsidRPr="00803F87">
        <w:rPr>
          <w:rFonts w:ascii="Arial" w:hAnsi="Arial" w:cs="Arial"/>
          <w:sz w:val="18"/>
          <w:lang w:val="en-US"/>
        </w:rPr>
        <w:t>[64]</w:t>
      </w:r>
      <w:r w:rsidRPr="00E87733">
        <w:rPr>
          <w:rFonts w:ascii="Arial" w:hAnsi="Arial" w:cs="Arial"/>
          <w:sz w:val="18"/>
          <w:szCs w:val="18"/>
          <w:lang w:val="en-US"/>
        </w:rPr>
        <w:fldChar w:fldCharType="end"/>
      </w:r>
      <w:r w:rsidRPr="00E87733">
        <w:rPr>
          <w:rFonts w:ascii="Arial" w:hAnsi="Arial" w:cs="Arial"/>
          <w:sz w:val="18"/>
          <w:szCs w:val="18"/>
          <w:lang w:val="en-US"/>
        </w:rPr>
        <w:t xml:space="preserve">. </w:t>
      </w:r>
      <w:r w:rsidRPr="00E87733">
        <w:rPr>
          <w:rFonts w:ascii="Arial" w:hAnsi="Arial" w:cs="Arial"/>
          <w:b/>
          <w:i/>
          <w:sz w:val="18"/>
          <w:szCs w:val="18"/>
          <w:lang w:val="en-US"/>
        </w:rPr>
        <w:t xml:space="preserve">Abcg2 </w:t>
      </w:r>
      <w:r w:rsidRPr="00E87733">
        <w:rPr>
          <w:rFonts w:ascii="Arial" w:hAnsi="Arial" w:cs="Arial"/>
          <w:sz w:val="18"/>
          <w:szCs w:val="18"/>
          <w:lang w:val="en-US"/>
        </w:rPr>
        <w:t>belongs to the ATP binding cassette (ABC) transporters, in the small intestine</w:t>
      </w:r>
      <w:r>
        <w:rPr>
          <w:rFonts w:ascii="Arial" w:hAnsi="Arial" w:cs="Arial"/>
          <w:sz w:val="18"/>
          <w:szCs w:val="18"/>
          <w:lang w:val="en-US"/>
        </w:rPr>
        <w:t>;i</w:t>
      </w:r>
      <w:r w:rsidRPr="00E87733">
        <w:rPr>
          <w:rFonts w:ascii="Arial" w:hAnsi="Arial" w:cs="Arial"/>
          <w:sz w:val="18"/>
          <w:szCs w:val="18"/>
          <w:lang w:val="en-US"/>
        </w:rPr>
        <w:t>t limits the amount of xenobiotics that are absorbed into the body, and promotes liver and kidney excretion of such compounds, playing an essential role in xenobiotic elimination</w:t>
      </w:r>
      <w:r w:rsidRPr="00E87733">
        <w:rPr>
          <w:rFonts w:ascii="Arial" w:hAnsi="Arial" w:cs="Arial"/>
          <w:color w:val="212121"/>
          <w:sz w:val="18"/>
          <w:szCs w:val="18"/>
          <w:shd w:val="clear" w:color="auto" w:fill="FFFFFF"/>
          <w:lang w:val="en-US"/>
        </w:rPr>
        <w:fldChar w:fldCharType="begin"/>
      </w:r>
      <w:r>
        <w:rPr>
          <w:rFonts w:ascii="Arial" w:hAnsi="Arial" w:cs="Arial"/>
          <w:color w:val="212121"/>
          <w:sz w:val="18"/>
          <w:szCs w:val="18"/>
          <w:shd w:val="clear" w:color="auto" w:fill="FFFFFF"/>
          <w:lang w:val="en-US"/>
        </w:rPr>
        <w:instrText xml:space="preserve"> ADDIN ZOTERO_ITEM CSL_CITATION {"citationID":"tZTqNXxk","properties":{"formattedCitation":"[65]","plainCitation":"[65]","noteIndex":0},"citationItems":[{"id":70,"uris":["http://zotero.org/users/local/95wI72Ic/items/DM9ENCYW",["http://zotero.org/users/local/95wI72Ic/items/DM9ENCYW"],["http://zotero.org/users/local/95wI72Ic/items/DM9ENCYW",["http://zotero.org/users/local/95wI72Ic/items/DM9ENCYW"]]],"itemData":{"id":70,"type":"article-journal","abstract":"ABCG2 is one of at least three human ATP binding cassette (ABC) transporters which can facilitate the export from cells of a wide range of chemically unrelated drug molecules. This capacity for multidrug transport is not only a confounding factor in chemotherapy, but is also one of the more perplexing phenomena in transporter biochemistry. Since its discovery in the last decade of the 20th century much has been revealed about ABCG2’s localization, physiological function and its broad substrate range. There have also been many investigations of its structure and molecular mechanism. In this mini review article we take a Rumsfeldian approach to ABCG2 and essentially ask what we do know about this transporter, and what we will need to know about this transporter if we wish to use modulation of ABCG2 activity as a therapeutic approach.","container-title":"Biochemical Society Transactions","DOI":"10.1042/BST20160014","ISSN":"0300-5127","issue":"3","journalAbbreviation":"Biochem Soc Trans","note":"PMID: 27284047\nPMCID: PMC4900755","page":"824-830","source":"PubMed Central","title":"The multidrug transporter ABCG2: still more questions than answers","title-short":"The multidrug transporter ABCG2","volume":"44","author":[{"family":"Horsey","given":"Aaron J."},{"family":"Cox","given":"Megan H."},{"family":"Sarwat","given":"Sunehera"},{"family":"Kerr","given":"Ian D."}],"issued":{"date-parts":[["2016",6,15]]}}}],"schema":"https://github.com/citation-style-language/schema/raw/master/csl-citation.json"} </w:instrText>
      </w:r>
      <w:r w:rsidRPr="00E87733">
        <w:rPr>
          <w:rFonts w:ascii="Arial" w:hAnsi="Arial" w:cs="Arial"/>
          <w:color w:val="212121"/>
          <w:sz w:val="18"/>
          <w:szCs w:val="18"/>
          <w:shd w:val="clear" w:color="auto" w:fill="FFFFFF"/>
          <w:lang w:val="en-US"/>
        </w:rPr>
        <w:fldChar w:fldCharType="separate"/>
      </w:r>
      <w:r w:rsidRPr="00803F87">
        <w:rPr>
          <w:rFonts w:ascii="Arial" w:hAnsi="Arial" w:cs="Arial"/>
          <w:sz w:val="18"/>
          <w:lang w:val="en-US"/>
        </w:rPr>
        <w:t>[65]</w:t>
      </w:r>
      <w:r w:rsidRPr="00E87733">
        <w:rPr>
          <w:rFonts w:ascii="Arial" w:hAnsi="Arial" w:cs="Arial"/>
          <w:color w:val="212121"/>
          <w:sz w:val="18"/>
          <w:szCs w:val="18"/>
          <w:shd w:val="clear" w:color="auto" w:fill="FFFFFF"/>
          <w:lang w:val="en-US"/>
        </w:rPr>
        <w:fldChar w:fldCharType="end"/>
      </w:r>
      <w:r w:rsidRPr="00E87733">
        <w:rPr>
          <w:rFonts w:ascii="Arial" w:hAnsi="Arial" w:cs="Arial"/>
          <w:color w:val="212121"/>
          <w:sz w:val="18"/>
          <w:szCs w:val="18"/>
          <w:shd w:val="clear" w:color="auto" w:fill="FFFFFF"/>
          <w:lang w:val="en-US"/>
        </w:rPr>
        <w:t xml:space="preserve">. </w:t>
      </w:r>
      <w:r w:rsidRPr="00E87733">
        <w:rPr>
          <w:rFonts w:ascii="Arial" w:hAnsi="Arial" w:cs="Arial"/>
          <w:b/>
          <w:i/>
          <w:sz w:val="18"/>
          <w:szCs w:val="18"/>
          <w:lang w:val="en-US"/>
        </w:rPr>
        <w:t>Cyp1a1, Cyp1a2</w:t>
      </w:r>
      <w:r w:rsidRPr="00E87733">
        <w:rPr>
          <w:rFonts w:ascii="Arial" w:hAnsi="Arial" w:cs="Arial"/>
          <w:sz w:val="18"/>
          <w:szCs w:val="18"/>
          <w:lang w:val="en-US"/>
        </w:rPr>
        <w:t xml:space="preserve"> and</w:t>
      </w:r>
      <w:r w:rsidRPr="00E87733">
        <w:rPr>
          <w:rFonts w:ascii="Arial" w:hAnsi="Arial" w:cs="Arial"/>
          <w:b/>
          <w:i/>
          <w:sz w:val="18"/>
          <w:szCs w:val="18"/>
          <w:lang w:val="en-US"/>
        </w:rPr>
        <w:t xml:space="preserve"> Cyp1b1 </w:t>
      </w:r>
      <w:r w:rsidRPr="00E87733">
        <w:rPr>
          <w:rFonts w:ascii="Arial" w:hAnsi="Arial" w:cs="Arial"/>
          <w:sz w:val="18"/>
          <w:szCs w:val="18"/>
          <w:lang w:val="en-US"/>
        </w:rPr>
        <w:t>are phase I enzymes (</w:t>
      </w:r>
      <w:r w:rsidRPr="00E87733">
        <w:rPr>
          <w:rFonts w:ascii="Arial" w:hAnsi="Arial" w:cs="Arial"/>
          <w:color w:val="202124"/>
          <w:sz w:val="18"/>
          <w:szCs w:val="18"/>
          <w:shd w:val="clear" w:color="auto" w:fill="FFFFFF"/>
          <w:lang w:val="en-US"/>
        </w:rPr>
        <w:t>mixed function oxidase activity</w:t>
      </w:r>
      <w:r w:rsidRPr="00E87733">
        <w:rPr>
          <w:rFonts w:ascii="Arial" w:hAnsi="Arial" w:cs="Arial"/>
          <w:sz w:val="18"/>
          <w:szCs w:val="18"/>
          <w:lang w:val="en-US"/>
        </w:rPr>
        <w:t>) that belong to the cytochrome P 450 family</w:t>
      </w:r>
      <w:r>
        <w:rPr>
          <w:rFonts w:ascii="Arial" w:hAnsi="Arial" w:cs="Arial"/>
          <w:sz w:val="18"/>
          <w:szCs w:val="18"/>
          <w:lang w:val="en-US"/>
        </w:rPr>
        <w:t>;</w:t>
      </w:r>
      <w:r w:rsidRPr="00E87733">
        <w:rPr>
          <w:rFonts w:ascii="Arial" w:hAnsi="Arial" w:cs="Arial"/>
          <w:sz w:val="18"/>
          <w:szCs w:val="18"/>
          <w:lang w:val="en-US"/>
        </w:rPr>
        <w:t xml:space="preserve"> these metabolic enzymes are </w:t>
      </w:r>
      <w:r w:rsidRPr="00E87733">
        <w:rPr>
          <w:rFonts w:ascii="Arial" w:hAnsi="Arial" w:cs="Arial"/>
          <w:i/>
          <w:sz w:val="18"/>
          <w:szCs w:val="18"/>
          <w:lang w:val="en-US"/>
        </w:rPr>
        <w:t xml:space="preserve">AhR </w:t>
      </w:r>
      <w:r w:rsidRPr="00E87733">
        <w:rPr>
          <w:rFonts w:ascii="Arial" w:hAnsi="Arial" w:cs="Arial"/>
          <w:sz w:val="18"/>
          <w:szCs w:val="18"/>
          <w:lang w:val="en-US"/>
        </w:rPr>
        <w:t xml:space="preserve">targets, meaning that their expression is controlled by </w:t>
      </w:r>
      <w:r w:rsidRPr="00E87733">
        <w:rPr>
          <w:rFonts w:ascii="Arial" w:hAnsi="Arial" w:cs="Arial"/>
          <w:i/>
          <w:sz w:val="18"/>
          <w:szCs w:val="18"/>
          <w:lang w:val="en-US"/>
        </w:rPr>
        <w:t>AhR</w:t>
      </w:r>
      <w:r w:rsidRPr="00E87733">
        <w:rPr>
          <w:rFonts w:ascii="Arial" w:hAnsi="Arial" w:cs="Arial"/>
          <w:sz w:val="18"/>
          <w:szCs w:val="18"/>
          <w:lang w:val="en-US"/>
        </w:rPr>
        <w:t xml:space="preserve"> and can be increased/inhibited in presence/absence of</w:t>
      </w:r>
      <w:r w:rsidRPr="00E87733">
        <w:rPr>
          <w:rFonts w:ascii="Arial" w:hAnsi="Arial" w:cs="Arial"/>
          <w:i/>
          <w:sz w:val="18"/>
          <w:szCs w:val="18"/>
          <w:lang w:val="en-US"/>
        </w:rPr>
        <w:t xml:space="preserve"> AhR</w:t>
      </w:r>
      <w:r w:rsidRPr="00E87733">
        <w:rPr>
          <w:rFonts w:ascii="Arial" w:hAnsi="Arial" w:cs="Arial"/>
          <w:sz w:val="18"/>
          <w:szCs w:val="18"/>
          <w:lang w:val="en-US"/>
        </w:rPr>
        <w:t xml:space="preserve"> ligands </w:t>
      </w:r>
      <w:r w:rsidRPr="00E87733">
        <w:rPr>
          <w:rFonts w:ascii="Arial" w:hAnsi="Arial" w:cs="Arial"/>
          <w:sz w:val="18"/>
          <w:szCs w:val="18"/>
          <w:lang w:val="en-US"/>
        </w:rPr>
        <w:fldChar w:fldCharType="begin"/>
      </w:r>
      <w:r>
        <w:rPr>
          <w:rFonts w:ascii="Arial" w:hAnsi="Arial" w:cs="Arial"/>
          <w:sz w:val="18"/>
          <w:szCs w:val="18"/>
          <w:lang w:val="en-US"/>
        </w:rPr>
        <w:instrText xml:space="preserve"> ADDIN ZOTERO_ITEM CSL_CITATION {"citationID":"gC6kbRwF","properties":{"formattedCitation":"[66]","plainCitation":"[66]","noteIndex":0},"citationItems":[{"id":73,"uris":["http://zotero.org/users/local/95wI72Ic/items/GFUG6RY9",["http://zotero.org/users/local/95wI72Ic/items/GFUG6RY9"],["http://zotero.org/users/local/95wI72Ic/items/GFUG6RY9",["http://zotero.org/users/local/95wI72Ic/items/GFUG6RY9"]]],"itemData":{"id":73,"type":"article-journal","abstract":"The aryl hydrocarbon receptor (AhR) has long been implicated in the induction of a battery of genes involved in the metabolism of xenobiotics and endogenous compounds. AhR is a ligand-activated transcription factor necessary for the launch of transcriptional responses important in health and disease. In past decades, evidence has accumulated that AhR is associated with the cellular response to oxidative stress, and this property of AhR must be taken into account during investigations into a mechanism of action of xenobiotics that is able to activate AhR or that is susceptible to metabolic activation by enzymes encoded by the genes that are under the control of AhR. In this review, we examine various mechanisms by which AhR takes part in the oxidative-stress response, including antioxidant and prooxidant enzymes and cytochrome P450. We also show that AhR, as a participant in the redox balance and as a modulator of redox signals, is being increasingly studied as a target for a new class of therapeutic compounds and as an explanation for the pathogenesis of some disorders.","container-title":"International Journal of Molecular Sciences","DOI":"10.3390/ijms23126719","ISSN":"1422-0067","issue":"12","language":"en","license":"http://creativecommons.org/licenses/by/3.0/","note":"number: 12\npublisher: Multidisciplinary Digital Publishing Institute","page":"6719","source":"www.mdpi.com","title":"Aryl Hydrocarbon Receptor in Oxidative Stress as a Double Agent and Its Biological and Therapeutic Significance","volume":"23","author":[{"family":"Grishanova","given":"Alevtina Y."},{"family":"Perepechaeva","given":"Maria L."}],"issued":{"date-parts":[["2022",1]]}}}],"schema":"https://github.com/citation-style-language/schema/raw/master/csl-citation.json"} </w:instrText>
      </w:r>
      <w:r w:rsidRPr="00E87733">
        <w:rPr>
          <w:rFonts w:ascii="Arial" w:hAnsi="Arial" w:cs="Arial"/>
          <w:sz w:val="18"/>
          <w:szCs w:val="18"/>
          <w:lang w:val="en-US"/>
        </w:rPr>
        <w:fldChar w:fldCharType="separate"/>
      </w:r>
      <w:r w:rsidRPr="00803F87">
        <w:rPr>
          <w:rFonts w:ascii="Arial" w:hAnsi="Arial" w:cs="Arial"/>
          <w:sz w:val="18"/>
          <w:lang w:val="en-US"/>
        </w:rPr>
        <w:t>[66]</w:t>
      </w:r>
      <w:r w:rsidRPr="00E87733">
        <w:rPr>
          <w:rFonts w:ascii="Arial" w:hAnsi="Arial" w:cs="Arial"/>
          <w:sz w:val="18"/>
          <w:szCs w:val="18"/>
          <w:lang w:val="en-US"/>
        </w:rPr>
        <w:fldChar w:fldCharType="end"/>
      </w:r>
      <w:r w:rsidRPr="00E87733">
        <w:rPr>
          <w:rFonts w:ascii="Arial" w:hAnsi="Arial" w:cs="Arial"/>
          <w:sz w:val="18"/>
          <w:szCs w:val="18"/>
          <w:lang w:val="en-US"/>
        </w:rPr>
        <w:t xml:space="preserve">. </w:t>
      </w:r>
      <w:r w:rsidRPr="00E87733">
        <w:rPr>
          <w:rFonts w:ascii="Arial" w:hAnsi="Arial" w:cs="Arial"/>
          <w:b/>
          <w:i/>
          <w:sz w:val="18"/>
          <w:szCs w:val="18"/>
          <w:lang w:val="en-US"/>
        </w:rPr>
        <w:t>Cyp3a11</w:t>
      </w:r>
      <w:r w:rsidRPr="00E87733">
        <w:rPr>
          <w:rFonts w:ascii="Arial" w:hAnsi="Arial" w:cs="Arial"/>
          <w:b/>
          <w:sz w:val="18"/>
          <w:szCs w:val="18"/>
          <w:lang w:val="en-US"/>
        </w:rPr>
        <w:t xml:space="preserve"> </w:t>
      </w:r>
      <w:r w:rsidRPr="00E87733">
        <w:rPr>
          <w:rFonts w:ascii="Arial" w:hAnsi="Arial" w:cs="Arial"/>
          <w:sz w:val="18"/>
          <w:szCs w:val="18"/>
          <w:lang w:val="en-US"/>
        </w:rPr>
        <w:t>who also belongs to the cytochrome P450 family is the main responsible for Apixaban metabolization</w:t>
      </w:r>
      <w:r>
        <w:rPr>
          <w:rFonts w:ascii="Arial" w:hAnsi="Arial" w:cs="Arial"/>
          <w:sz w:val="18"/>
          <w:szCs w:val="18"/>
          <w:lang w:val="en-US"/>
        </w:rPr>
        <w:t xml:space="preserve"> </w:t>
      </w:r>
      <w:r w:rsidRPr="00E87733">
        <w:rPr>
          <w:rFonts w:ascii="Arial" w:hAnsi="Arial" w:cs="Arial"/>
          <w:sz w:val="18"/>
          <w:szCs w:val="18"/>
          <w:lang w:val="en-US"/>
        </w:rPr>
        <w:fldChar w:fldCharType="begin"/>
      </w:r>
      <w:r>
        <w:rPr>
          <w:rFonts w:ascii="Arial" w:hAnsi="Arial" w:cs="Arial"/>
          <w:sz w:val="18"/>
          <w:szCs w:val="18"/>
          <w:lang w:val="en-US"/>
        </w:rPr>
        <w:instrText xml:space="preserve"> ADDIN ZOTERO_ITEM CSL_CITATION {"citationID":"1YmdOMVL","properties":{"formattedCitation":"[67]","plainCitation":"[67]","noteIndex":0},"citationItems":[{"id":75,"uris":["http://zotero.org/users/local/95wI72Ic/items/4N4ZT2J3",["http://zotero.org/users/local/95wI72Ic/items/4N4ZT2J3"],["http://zotero.org/users/local/95wI72Ic/items/4N4ZT2J3",["http://zotero.org/users/local/95wI72Ic/items/4N4ZT2J3"]]],"itemData":{"id":75,"type":"article-journal","abstract":"Apixaban is an oral, direct, and highly selective factor Xa inhibitor in late-stage clinical development for the prevention and treatment of thromboembolic diseases. The metabolic drug-drug interaction potential of apixaban was evaluated in vitro. The compound did not show cytochrome P450 inhibition (IC(50) values &gt;20 microM) in incubations of human liver microsomes with the probe substrates of CYP1A2, 2B6, 2C8, 2C9, 2C19, 2D6, or 3A4/5. Apixaban did not show any effect at concentrations up to 20 muM on enzyme activities or mRNA levels of selected P450 enzymes (CYP1A2, 2B6, and 3A4/5) that are sensitive to induction in incubations with primary human hepatocytes. Apixaban showed a slow metabolic turnover in incubations of human liver microsomes with formation of O-demethylation (M2) and hydroxylation products (M4 and M7) as prominent in vitro metabolites. Experiments with human cDNA-expressed P450 enzymes and P450 chemical inhibitors and correlation with P450 activities in individual human liver microsomes demonstrated that the oxidative metabolism of apixaban for formation of all metabolites was predominantly catalyzed by CYP3A4/5 with a minor contribution of CYP1A2 and CYP2J2 for formation of M2. The contribution of CYP2C8, 2C9, and 2C19 to metabolism of apixaban was less significant. In addition, a human absorption, distribution, metabolism, and excretion study showed that more than half of the dose was excreted as unchanged parent (f(m CYP) &lt;0.5), thus significantly reducing the overall metabolic drug-drug interaction potential of apixaban. Together with a low clinical efficacious concentration and multiple clearance pathways, these results demonstrate that the metabolic drug-drug interaction potential between apixaban and coadministered drugs is low.","container-title":"Drug Metabolism and Disposition: The Biological Fate of Chemicals","DOI":"10.1124/dmd.109.029694","ISSN":"1521-009X","issue":"3","journalAbbreviation":"Drug Metab Dispos","language":"eng","note":"PMID: 19940026","page":"448-458","source":"PubMed","title":"In vitro assessment of metabolic drug-drug interaction potential of apixaban through cytochrome P450 phenotyping, inhibition, and induction studies","volume":"38","author":[{"family":"Wang","given":"Lifei"},{"family":"Zhang","given":"Donglu"},{"family":"Raghavan","given":"Nirmala"},{"family":"Yao","given":"Ming"},{"family":"Ma","given":"Li"},{"family":"Frost","given":"Charles E."},{"family":"Maxwell","given":"Brad D."},{"family":"Chen","given":"Shiang-yuan"},{"family":"He","given":"Kan"},{"family":"Goosen","given":"Theunis C."},{"family":"Humphreys","given":"W. Griffith"},{"family":"Grossman","given":"Scott J."}],"issued":{"date-parts":[["2010",3]]}}}],"schema":"https://github.com/citation-style-language/schema/raw/master/csl-citation.json"} </w:instrText>
      </w:r>
      <w:r w:rsidRPr="00E87733">
        <w:rPr>
          <w:rFonts w:ascii="Arial" w:hAnsi="Arial" w:cs="Arial"/>
          <w:sz w:val="18"/>
          <w:szCs w:val="18"/>
          <w:lang w:val="en-US"/>
        </w:rPr>
        <w:fldChar w:fldCharType="separate"/>
      </w:r>
      <w:r w:rsidRPr="00803F87">
        <w:rPr>
          <w:rFonts w:ascii="Arial" w:hAnsi="Arial" w:cs="Arial"/>
          <w:sz w:val="18"/>
          <w:lang w:val="en-US"/>
        </w:rPr>
        <w:t>[67]</w:t>
      </w:r>
      <w:r w:rsidRPr="00E87733">
        <w:rPr>
          <w:rFonts w:ascii="Arial" w:hAnsi="Arial" w:cs="Arial"/>
          <w:sz w:val="18"/>
          <w:szCs w:val="18"/>
          <w:lang w:val="en-US"/>
        </w:rPr>
        <w:fldChar w:fldCharType="end"/>
      </w:r>
      <w:r w:rsidRPr="00E87733">
        <w:rPr>
          <w:rFonts w:ascii="Arial" w:hAnsi="Arial" w:cs="Arial"/>
          <w:sz w:val="18"/>
          <w:szCs w:val="18"/>
          <w:lang w:val="en-US"/>
        </w:rPr>
        <w:t xml:space="preserve">. </w:t>
      </w:r>
      <w:r w:rsidRPr="00E87733">
        <w:rPr>
          <w:rFonts w:ascii="Arial" w:hAnsi="Arial" w:cs="Arial"/>
          <w:b/>
          <w:i/>
          <w:sz w:val="18"/>
          <w:szCs w:val="18"/>
          <w:lang w:val="en-US"/>
        </w:rPr>
        <w:t>Cyp2e1</w:t>
      </w:r>
      <w:r w:rsidRPr="00E87733">
        <w:rPr>
          <w:rFonts w:ascii="Arial" w:hAnsi="Arial" w:cs="Arial"/>
          <w:sz w:val="18"/>
          <w:szCs w:val="18"/>
          <w:lang w:val="en-US"/>
        </w:rPr>
        <w:t xml:space="preserve"> and </w:t>
      </w:r>
      <w:r w:rsidRPr="00E87733">
        <w:rPr>
          <w:rFonts w:ascii="Arial" w:hAnsi="Arial" w:cs="Arial"/>
          <w:b/>
          <w:i/>
          <w:sz w:val="18"/>
          <w:szCs w:val="18"/>
          <w:lang w:val="en-US"/>
        </w:rPr>
        <w:t>Sult1a1</w:t>
      </w:r>
      <w:r w:rsidRPr="00E87733">
        <w:rPr>
          <w:rFonts w:ascii="Arial" w:hAnsi="Arial" w:cs="Arial"/>
          <w:sz w:val="18"/>
          <w:szCs w:val="18"/>
          <w:lang w:val="en-US"/>
        </w:rPr>
        <w:t xml:space="preserve"> </w:t>
      </w:r>
      <w:r>
        <w:rPr>
          <w:rFonts w:ascii="Arial" w:hAnsi="Arial" w:cs="Arial"/>
          <w:sz w:val="18"/>
          <w:szCs w:val="18"/>
          <w:lang w:val="en-US"/>
        </w:rPr>
        <w:t>a</w:t>
      </w:r>
      <w:r w:rsidRPr="00E87733">
        <w:rPr>
          <w:rFonts w:ascii="Arial" w:hAnsi="Arial" w:cs="Arial"/>
          <w:sz w:val="18"/>
          <w:szCs w:val="18"/>
          <w:lang w:val="en-US"/>
        </w:rPr>
        <w:t>re liver metabolic enzymes that transform</w:t>
      </w:r>
      <w:r w:rsidRPr="00E87733">
        <w:rPr>
          <w:rFonts w:ascii="Arial" w:hAnsi="Arial" w:cs="Arial"/>
          <w:b/>
          <w:sz w:val="18"/>
          <w:szCs w:val="18"/>
          <w:lang w:val="en-US"/>
        </w:rPr>
        <w:t xml:space="preserve"> </w:t>
      </w:r>
      <w:r w:rsidRPr="00E87733">
        <w:rPr>
          <w:rFonts w:ascii="Arial" w:hAnsi="Arial" w:cs="Arial"/>
          <w:sz w:val="18"/>
          <w:szCs w:val="18"/>
          <w:lang w:val="en-US"/>
        </w:rPr>
        <w:lastRenderedPageBreak/>
        <w:t xml:space="preserve">Indole to Indoxyl Sulfate </w:t>
      </w:r>
      <w:r w:rsidRPr="00E87733">
        <w:rPr>
          <w:rFonts w:ascii="Arial" w:hAnsi="Arial" w:cs="Arial"/>
          <w:sz w:val="18"/>
          <w:szCs w:val="18"/>
          <w:lang w:val="en-US"/>
        </w:rPr>
        <w:fldChar w:fldCharType="begin"/>
      </w:r>
      <w:r>
        <w:rPr>
          <w:rFonts w:ascii="Arial" w:hAnsi="Arial" w:cs="Arial"/>
          <w:sz w:val="18"/>
          <w:szCs w:val="18"/>
          <w:lang w:val="en-US"/>
        </w:rPr>
        <w:instrText xml:space="preserve"> ADDIN ZOTERO_ITEM CSL_CITATION {"citationID":"g0KAbf7a","properties":{"formattedCitation":"[68]","plainCitation":"[68]","noteIndex":0},"citationItems":[{"id":77,"uris":["http://zotero.org/users/local/95wI72Ic/items/BNANEC5D",["http://zotero.org/users/local/95wI72Ic/items/BNANEC5D"],["http://zotero.org/users/local/95wI72Ic/items/BNANEC5D",["http://zotero.org/users/local/95wI72Ic/items/BNANEC5D"]]],"itemData":{"id":77,"type":"article-journal","abstract":"The accumulation of the uremic toxin indoxyl sulfate (IS) induces target organ damage in chronic kidney disease (CKD) patients, and causes complications including cardiovascular diseases, renal osteodystrophy, muscle wasting, and anemia. IS stimulates reactive oxygen species (ROS) production in CKD, which impairs glomerular filtration by a direct cytotoxic effect on the mesangial cells. IS further reduces antioxidant capacity in renal proximal tubular cells and contributes to tubulointerstitial injury. IS-induced ROS formation triggers the switching of vascular smooth muscular cells to the osteoblastic phenotype, which induces cardiovascular risk. Low-turnover bone disease seen in early CKD relies on the inhibitory effects of IS on osteoblast viability and differentiation, and osteoblastic signaling via the parathyroid hormone. Excessive ROS and inflammatory cytokine releases caused by IS directly inhibit myocyte growth in muscle wasting via myokines’ effects. Moreover, IS triggers eryptosis via ROS-mediated oxidative stress, and elevates hepcidin levels in order to prevent iron flux in circulation in renal anemia. Thus, IS-induced oxidative stress underlies the mechanisms in CKD-related complications. This review summarizes the underlying mechanisms of how IS mediates oxidative stress in the pathogenesis of CKD’s complications. Furthermore, we also discuss the potential role of oral AST-120 in attenuating IS-mediated oxidative stress after gastrointestinal adsorption of the IS precursor indole.","container-title":"Antioxidants","DOI":"10.3390/antiox10060936","ISSN":"2076-3921","issue":"6","journalAbbreviation":"Antioxidants (Basel)","note":"PMID: 34207816\nPMCID: PMC8228088","page":"936","source":"PubMed Central","title":"Indoxyl-Sulfate-Induced Redox Imbalance in Chronic Kidney Disease","volume":"10","author":[{"family":"Lu","given":"Chien-Lin"},{"family":"Zheng","given":"Cai-Mei"},{"family":"Lu","given":"Kuo-Cheng"},{"family":"Liao","given":"Min-Tser"},{"family":"Wu","given":"Kun-Lin"},{"family":"Ma","given":"Ming-Chieh"}],"issued":{"date-parts":[["2021",6,9]]}}}],"schema":"https://github.com/citation-style-language/schema/raw/master/csl-citation.json"} </w:instrText>
      </w:r>
      <w:r w:rsidRPr="00E87733">
        <w:rPr>
          <w:rFonts w:ascii="Arial" w:hAnsi="Arial" w:cs="Arial"/>
          <w:sz w:val="18"/>
          <w:szCs w:val="18"/>
          <w:lang w:val="en-US"/>
        </w:rPr>
        <w:fldChar w:fldCharType="separate"/>
      </w:r>
      <w:r w:rsidRPr="00803F87">
        <w:rPr>
          <w:rFonts w:ascii="Arial" w:hAnsi="Arial" w:cs="Arial"/>
          <w:sz w:val="18"/>
          <w:lang w:val="en-US"/>
        </w:rPr>
        <w:t>[68]</w:t>
      </w:r>
      <w:r w:rsidRPr="00E87733">
        <w:rPr>
          <w:rFonts w:ascii="Arial" w:hAnsi="Arial" w:cs="Arial"/>
          <w:sz w:val="18"/>
          <w:szCs w:val="18"/>
          <w:lang w:val="en-US"/>
        </w:rPr>
        <w:fldChar w:fldCharType="end"/>
      </w:r>
      <w:r w:rsidRPr="00E87733">
        <w:rPr>
          <w:rFonts w:ascii="Arial" w:hAnsi="Arial" w:cs="Arial"/>
          <w:sz w:val="18"/>
          <w:szCs w:val="18"/>
          <w:lang w:val="en-US"/>
        </w:rPr>
        <w:t xml:space="preserve">. </w:t>
      </w:r>
      <w:r w:rsidRPr="00E87733">
        <w:rPr>
          <w:rFonts w:ascii="Arial" w:hAnsi="Arial" w:cs="Arial"/>
          <w:b/>
          <w:i/>
          <w:sz w:val="18"/>
          <w:szCs w:val="18"/>
          <w:lang w:val="en-US"/>
        </w:rPr>
        <w:t xml:space="preserve"> Scl22a6 </w:t>
      </w:r>
      <w:r w:rsidRPr="00E87733">
        <w:rPr>
          <w:rFonts w:ascii="Arial" w:hAnsi="Arial" w:cs="Arial"/>
          <w:sz w:val="18"/>
          <w:szCs w:val="18"/>
          <w:lang w:val="en-US"/>
        </w:rPr>
        <w:t xml:space="preserve">(OAT1) and </w:t>
      </w:r>
      <w:r w:rsidRPr="00E87733">
        <w:rPr>
          <w:rFonts w:ascii="Arial" w:hAnsi="Arial" w:cs="Arial"/>
          <w:b/>
          <w:i/>
          <w:sz w:val="18"/>
          <w:szCs w:val="18"/>
          <w:lang w:val="en-US"/>
        </w:rPr>
        <w:t>Scl22a8</w:t>
      </w:r>
      <w:r w:rsidRPr="00E87733">
        <w:rPr>
          <w:rFonts w:ascii="Arial" w:hAnsi="Arial" w:cs="Arial"/>
          <w:sz w:val="18"/>
          <w:szCs w:val="18"/>
          <w:lang w:val="en-US"/>
        </w:rPr>
        <w:t xml:space="preserve"> (OAT3) belong to the organic anion transporter (OAT) family. OAT1 and OAT3 are expressed at the basolateral membrane of proximal tubular cells, mediating in the renal excretion of potentially toxic compounds by promoting its absorption into the proximal tubular cells. Both OAT1 and OAT3 expression range seems to depend on  gender and species </w:t>
      </w:r>
      <w:r w:rsidRPr="00E87733">
        <w:rPr>
          <w:rFonts w:ascii="Arial" w:hAnsi="Arial" w:cs="Arial"/>
          <w:sz w:val="18"/>
          <w:szCs w:val="18"/>
          <w:lang w:val="en-US"/>
        </w:rPr>
        <w:fldChar w:fldCharType="begin"/>
      </w:r>
      <w:r>
        <w:rPr>
          <w:rFonts w:ascii="Arial" w:hAnsi="Arial" w:cs="Arial"/>
          <w:sz w:val="18"/>
          <w:szCs w:val="18"/>
          <w:lang w:val="en-US"/>
        </w:rPr>
        <w:instrText xml:space="preserve"> ADDIN ZOTERO_ITEM CSL_CITATION {"citationID":"RmipkRMQ","properties":{"formattedCitation":"[69]","plainCitation":"[69]","noteIndex":0},"citationItems":[{"id":63,"uris":["http://zotero.org/users/local/95wI72Ic/items/BVMKUMKP",["http://zotero.org/users/local/95wI72Ic/items/BVMKUMKP"],["http://zotero.org/users/local/95wI72Ic/items/BVMKUMKP",["http://zotero.org/users/local/95wI72Ic/items/BVMKUMKP"]]],"itemData":{"id":63,"type":"article-journal","abstract":"Recent advances in molecular biology have identified three organic anion transporter families: the organic anion transporter (OAT) family encoded by SLC22A, the organic anion transporting peptide (OATP) family encoded by SLC21A (SLCO), and the multidrug resistance-associated protein (MRP) family encoded by ABCC. These families play critical roles in the transepithelial transport of organic anions in the kidneys as well as in other tissues such as the liver and brain. Among these families, the OAT family plays the central role in renal organic anion transport. Knowledge of these three families at the molecular level, such as substrate selectivity, tissue distribution, and gene localization, is rapidly increasing. In this review, we will give an overview of molecular information on renal organic anion transporters and describe recent topics such as the regulatory mechanisms and molecular physiology of urate transport. We will also discuss the physiological roles of each organic anion transporter in the light of the transepithelial transport of organic anions in the kidneys.","container-title":"American Journal of Physiology-Renal Physiology","DOI":"10.1152/ajprenal.00439.2004","ISSN":"1931-857X","issue":"2","note":"publisher: American Physiological Society","page":"F251-F261","source":"journals.physiology.org (Atypon)","title":"Molecular physiology of renal organic anion transporters","volume":"290","author":[{"family":"Sekine","given":"Takashi"},{"family":"Miyazaki","given":"Hiroki"},{"family":"Endou","given":"Hitoshi"}],"issued":{"date-parts":[["2006",2]]}}}],"schema":"https://github.com/citation-style-language/schema/raw/master/csl-citation.json"} </w:instrText>
      </w:r>
      <w:r w:rsidRPr="00E87733">
        <w:rPr>
          <w:rFonts w:ascii="Arial" w:hAnsi="Arial" w:cs="Arial"/>
          <w:sz w:val="18"/>
          <w:szCs w:val="18"/>
          <w:lang w:val="en-US"/>
        </w:rPr>
        <w:fldChar w:fldCharType="separate"/>
      </w:r>
      <w:r w:rsidRPr="00803F87">
        <w:rPr>
          <w:rFonts w:ascii="Arial" w:hAnsi="Arial" w:cs="Arial"/>
          <w:sz w:val="18"/>
          <w:lang w:val="en-US"/>
        </w:rPr>
        <w:t>[69]</w:t>
      </w:r>
      <w:r w:rsidRPr="00E87733">
        <w:rPr>
          <w:rFonts w:ascii="Arial" w:hAnsi="Arial" w:cs="Arial"/>
          <w:sz w:val="18"/>
          <w:szCs w:val="18"/>
          <w:lang w:val="en-US"/>
        </w:rPr>
        <w:fldChar w:fldCharType="end"/>
      </w:r>
      <w:r w:rsidRPr="00E87733">
        <w:rPr>
          <w:rFonts w:ascii="Arial" w:hAnsi="Arial" w:cs="Arial"/>
          <w:sz w:val="18"/>
          <w:szCs w:val="18"/>
          <w:lang w:val="en-US"/>
        </w:rPr>
        <w:t>.</w:t>
      </w:r>
    </w:p>
    <w:p w14:paraId="6BCE7EC7" w14:textId="6BE277AD" w:rsidR="00157EFF" w:rsidRDefault="00157EFF" w:rsidP="00157EFF">
      <w:pPr>
        <w:pStyle w:val="NormalWeb"/>
        <w:spacing w:before="0" w:beforeAutospacing="0" w:after="90" w:afterAutospacing="0" w:line="480" w:lineRule="auto"/>
        <w:jc w:val="both"/>
        <w:rPr>
          <w:rFonts w:ascii="Arial" w:eastAsia="Calibri" w:hAnsi="Arial"/>
          <w:color w:val="000000" w:themeColor="text1"/>
          <w:kern w:val="24"/>
          <w:sz w:val="20"/>
          <w:szCs w:val="20"/>
          <w:lang w:val="en-US"/>
        </w:rPr>
      </w:pPr>
    </w:p>
    <w:p w14:paraId="6A160A87" w14:textId="6A9EBF6C" w:rsidR="00157EFF" w:rsidRDefault="00157EFF" w:rsidP="00157EFF">
      <w:pPr>
        <w:pStyle w:val="NormalWeb"/>
        <w:spacing w:before="0" w:beforeAutospacing="0" w:after="90" w:afterAutospacing="0" w:line="480" w:lineRule="auto"/>
        <w:jc w:val="both"/>
        <w:rPr>
          <w:rFonts w:ascii="Arial" w:eastAsia="Calibri" w:hAnsi="Arial"/>
          <w:color w:val="000000" w:themeColor="text1"/>
          <w:kern w:val="24"/>
          <w:sz w:val="20"/>
          <w:szCs w:val="20"/>
          <w:lang w:val="en-US"/>
        </w:rPr>
      </w:pPr>
    </w:p>
    <w:p w14:paraId="67227F07" w14:textId="317025DB" w:rsidR="00157EFF" w:rsidRDefault="00157EFF" w:rsidP="00157EFF">
      <w:pPr>
        <w:pStyle w:val="NormalWeb"/>
        <w:spacing w:before="0" w:beforeAutospacing="0" w:after="90" w:afterAutospacing="0" w:line="480" w:lineRule="auto"/>
        <w:jc w:val="both"/>
        <w:rPr>
          <w:rFonts w:ascii="Arial" w:eastAsia="Calibri" w:hAnsi="Arial"/>
          <w:color w:val="000000" w:themeColor="text1"/>
          <w:kern w:val="24"/>
          <w:sz w:val="20"/>
          <w:szCs w:val="20"/>
          <w:lang w:val="en-US"/>
        </w:rPr>
      </w:pPr>
    </w:p>
    <w:p w14:paraId="36691521" w14:textId="785C7345" w:rsidR="00157EFF" w:rsidRDefault="00157EFF" w:rsidP="00157EFF">
      <w:pPr>
        <w:pStyle w:val="NormalWeb"/>
        <w:spacing w:before="0" w:beforeAutospacing="0" w:after="90" w:afterAutospacing="0" w:line="480" w:lineRule="auto"/>
        <w:jc w:val="both"/>
        <w:rPr>
          <w:rFonts w:ascii="Arial" w:eastAsia="Calibri" w:hAnsi="Arial"/>
          <w:color w:val="000000" w:themeColor="text1"/>
          <w:kern w:val="24"/>
          <w:sz w:val="20"/>
          <w:szCs w:val="20"/>
          <w:lang w:val="en-US"/>
        </w:rPr>
      </w:pPr>
    </w:p>
    <w:p w14:paraId="0DBF0792" w14:textId="749215EC" w:rsidR="00157EFF" w:rsidRDefault="00157EFF" w:rsidP="00157EFF">
      <w:pPr>
        <w:pStyle w:val="NormalWeb"/>
        <w:spacing w:before="0" w:beforeAutospacing="0" w:after="90" w:afterAutospacing="0" w:line="480" w:lineRule="auto"/>
        <w:jc w:val="both"/>
        <w:rPr>
          <w:rFonts w:ascii="Arial" w:eastAsia="Calibri" w:hAnsi="Arial"/>
          <w:color w:val="000000" w:themeColor="text1"/>
          <w:kern w:val="24"/>
          <w:sz w:val="20"/>
          <w:szCs w:val="20"/>
          <w:lang w:val="en-US"/>
        </w:rPr>
      </w:pPr>
    </w:p>
    <w:p w14:paraId="235FED2E" w14:textId="321ACDA9" w:rsidR="00157EFF" w:rsidRDefault="00157EFF" w:rsidP="00157EFF">
      <w:pPr>
        <w:pStyle w:val="NormalWeb"/>
        <w:spacing w:before="0" w:beforeAutospacing="0" w:after="90" w:afterAutospacing="0" w:line="480" w:lineRule="auto"/>
        <w:jc w:val="both"/>
        <w:rPr>
          <w:rFonts w:ascii="Arial" w:eastAsia="Calibri" w:hAnsi="Arial"/>
          <w:color w:val="000000" w:themeColor="text1"/>
          <w:kern w:val="24"/>
          <w:sz w:val="20"/>
          <w:szCs w:val="20"/>
          <w:lang w:val="en-US"/>
        </w:rPr>
      </w:pPr>
    </w:p>
    <w:p w14:paraId="49509EF7" w14:textId="34EF4A04" w:rsidR="00157EFF" w:rsidRDefault="00157EFF" w:rsidP="00157EFF">
      <w:pPr>
        <w:pStyle w:val="NormalWeb"/>
        <w:spacing w:before="0" w:beforeAutospacing="0" w:after="90" w:afterAutospacing="0" w:line="480" w:lineRule="auto"/>
        <w:jc w:val="both"/>
        <w:rPr>
          <w:rFonts w:ascii="Arial" w:eastAsia="Calibri" w:hAnsi="Arial"/>
          <w:color w:val="000000" w:themeColor="text1"/>
          <w:kern w:val="24"/>
          <w:sz w:val="20"/>
          <w:szCs w:val="20"/>
          <w:lang w:val="en-US"/>
        </w:rPr>
      </w:pPr>
    </w:p>
    <w:p w14:paraId="5AF73E96" w14:textId="5A28F71A" w:rsidR="00157EFF" w:rsidRDefault="00157EFF" w:rsidP="00157EFF">
      <w:pPr>
        <w:pStyle w:val="NormalWeb"/>
        <w:spacing w:before="0" w:beforeAutospacing="0" w:after="90" w:afterAutospacing="0" w:line="480" w:lineRule="auto"/>
        <w:jc w:val="both"/>
        <w:rPr>
          <w:rFonts w:ascii="Arial" w:eastAsia="Calibri" w:hAnsi="Arial"/>
          <w:color w:val="000000" w:themeColor="text1"/>
          <w:kern w:val="24"/>
          <w:sz w:val="20"/>
          <w:szCs w:val="20"/>
          <w:lang w:val="en-US"/>
        </w:rPr>
      </w:pPr>
    </w:p>
    <w:p w14:paraId="709C8EE3" w14:textId="412290A1" w:rsidR="00157EFF" w:rsidRDefault="00157EFF" w:rsidP="00157EFF">
      <w:pPr>
        <w:pStyle w:val="NormalWeb"/>
        <w:spacing w:before="0" w:beforeAutospacing="0" w:after="90" w:afterAutospacing="0" w:line="480" w:lineRule="auto"/>
        <w:jc w:val="both"/>
        <w:rPr>
          <w:rFonts w:ascii="Arial" w:eastAsia="Calibri" w:hAnsi="Arial"/>
          <w:color w:val="000000" w:themeColor="text1"/>
          <w:kern w:val="24"/>
          <w:sz w:val="20"/>
          <w:szCs w:val="20"/>
          <w:lang w:val="en-US"/>
        </w:rPr>
      </w:pPr>
    </w:p>
    <w:p w14:paraId="66133532" w14:textId="09ECAEA9" w:rsidR="00157EFF" w:rsidRDefault="00157EFF" w:rsidP="00157EFF">
      <w:pPr>
        <w:pStyle w:val="NormalWeb"/>
        <w:spacing w:before="0" w:beforeAutospacing="0" w:after="90" w:afterAutospacing="0" w:line="480" w:lineRule="auto"/>
        <w:jc w:val="both"/>
        <w:rPr>
          <w:rFonts w:ascii="Arial" w:eastAsia="Calibri" w:hAnsi="Arial"/>
          <w:color w:val="000000" w:themeColor="text1"/>
          <w:kern w:val="24"/>
          <w:sz w:val="20"/>
          <w:szCs w:val="20"/>
          <w:lang w:val="en-US"/>
        </w:rPr>
      </w:pPr>
    </w:p>
    <w:p w14:paraId="57F547A9" w14:textId="77CAF60F" w:rsidR="00157EFF" w:rsidRDefault="00157EFF" w:rsidP="00157EFF">
      <w:pPr>
        <w:pStyle w:val="NormalWeb"/>
        <w:spacing w:before="0" w:beforeAutospacing="0" w:after="90" w:afterAutospacing="0" w:line="480" w:lineRule="auto"/>
        <w:jc w:val="both"/>
        <w:rPr>
          <w:rFonts w:ascii="Arial" w:eastAsia="Calibri" w:hAnsi="Arial"/>
          <w:color w:val="000000" w:themeColor="text1"/>
          <w:kern w:val="24"/>
          <w:sz w:val="20"/>
          <w:szCs w:val="20"/>
          <w:lang w:val="en-US"/>
        </w:rPr>
      </w:pPr>
    </w:p>
    <w:p w14:paraId="404E8B38" w14:textId="203FC13B" w:rsidR="00157EFF" w:rsidRDefault="00157EFF" w:rsidP="00157EFF">
      <w:pPr>
        <w:pStyle w:val="NormalWeb"/>
        <w:spacing w:before="0" w:beforeAutospacing="0" w:after="90" w:afterAutospacing="0" w:line="480" w:lineRule="auto"/>
        <w:jc w:val="both"/>
        <w:rPr>
          <w:rFonts w:ascii="Arial" w:eastAsia="Calibri" w:hAnsi="Arial"/>
          <w:color w:val="000000" w:themeColor="text1"/>
          <w:kern w:val="24"/>
          <w:sz w:val="20"/>
          <w:szCs w:val="20"/>
          <w:lang w:val="en-US"/>
        </w:rPr>
      </w:pPr>
    </w:p>
    <w:p w14:paraId="48E4BEC3" w14:textId="0A771FE0" w:rsidR="00157EFF" w:rsidRDefault="00157EFF" w:rsidP="00157EFF">
      <w:pPr>
        <w:pStyle w:val="NormalWeb"/>
        <w:spacing w:before="0" w:beforeAutospacing="0" w:after="90" w:afterAutospacing="0" w:line="480" w:lineRule="auto"/>
        <w:jc w:val="both"/>
        <w:rPr>
          <w:rFonts w:ascii="Arial" w:eastAsia="Calibri" w:hAnsi="Arial"/>
          <w:color w:val="000000" w:themeColor="text1"/>
          <w:kern w:val="24"/>
          <w:sz w:val="20"/>
          <w:szCs w:val="20"/>
          <w:lang w:val="en-US"/>
        </w:rPr>
      </w:pPr>
    </w:p>
    <w:p w14:paraId="170E9078" w14:textId="24C918FF" w:rsidR="00157EFF" w:rsidRDefault="00157EFF" w:rsidP="00157EFF">
      <w:pPr>
        <w:pStyle w:val="NormalWeb"/>
        <w:spacing w:before="0" w:beforeAutospacing="0" w:after="90" w:afterAutospacing="0" w:line="480" w:lineRule="auto"/>
        <w:jc w:val="both"/>
        <w:rPr>
          <w:rFonts w:ascii="Arial" w:eastAsia="Calibri" w:hAnsi="Arial"/>
          <w:color w:val="000000" w:themeColor="text1"/>
          <w:kern w:val="24"/>
          <w:sz w:val="20"/>
          <w:szCs w:val="20"/>
          <w:lang w:val="en-US"/>
        </w:rPr>
      </w:pPr>
    </w:p>
    <w:p w14:paraId="51D0BA77" w14:textId="4F8E3A2D" w:rsidR="00157EFF" w:rsidRDefault="00157EFF" w:rsidP="00157EFF">
      <w:pPr>
        <w:pStyle w:val="NormalWeb"/>
        <w:spacing w:before="0" w:beforeAutospacing="0" w:after="90" w:afterAutospacing="0" w:line="480" w:lineRule="auto"/>
        <w:jc w:val="both"/>
        <w:rPr>
          <w:rFonts w:ascii="Arial" w:eastAsia="Calibri" w:hAnsi="Arial"/>
          <w:color w:val="000000" w:themeColor="text1"/>
          <w:kern w:val="24"/>
          <w:sz w:val="20"/>
          <w:szCs w:val="20"/>
          <w:lang w:val="en-US"/>
        </w:rPr>
      </w:pPr>
    </w:p>
    <w:p w14:paraId="1E5AAD1C" w14:textId="17AFE012" w:rsidR="00157EFF" w:rsidRDefault="00157EFF" w:rsidP="00157EFF">
      <w:pPr>
        <w:pStyle w:val="NormalWeb"/>
        <w:spacing w:before="0" w:beforeAutospacing="0" w:after="90" w:afterAutospacing="0" w:line="480" w:lineRule="auto"/>
        <w:jc w:val="both"/>
        <w:rPr>
          <w:rFonts w:ascii="Arial" w:eastAsia="Calibri" w:hAnsi="Arial"/>
          <w:color w:val="000000" w:themeColor="text1"/>
          <w:kern w:val="24"/>
          <w:sz w:val="20"/>
          <w:szCs w:val="20"/>
          <w:lang w:val="en-US"/>
        </w:rPr>
      </w:pPr>
    </w:p>
    <w:p w14:paraId="5133BE4C" w14:textId="49184672" w:rsidR="00157EFF" w:rsidRDefault="00157EFF" w:rsidP="00157EFF">
      <w:pPr>
        <w:pStyle w:val="NormalWeb"/>
        <w:spacing w:before="0" w:beforeAutospacing="0" w:after="90" w:afterAutospacing="0" w:line="480" w:lineRule="auto"/>
        <w:jc w:val="both"/>
        <w:rPr>
          <w:rFonts w:ascii="Arial" w:eastAsia="Calibri" w:hAnsi="Arial"/>
          <w:color w:val="000000" w:themeColor="text1"/>
          <w:kern w:val="24"/>
          <w:sz w:val="20"/>
          <w:szCs w:val="20"/>
          <w:lang w:val="en-US"/>
        </w:rPr>
      </w:pPr>
    </w:p>
    <w:p w14:paraId="43535F47" w14:textId="707AF4CA" w:rsidR="00157EFF" w:rsidRDefault="00157EFF" w:rsidP="00157EFF">
      <w:pPr>
        <w:pStyle w:val="NormalWeb"/>
        <w:spacing w:before="0" w:beforeAutospacing="0" w:after="90" w:afterAutospacing="0" w:line="480" w:lineRule="auto"/>
        <w:jc w:val="both"/>
        <w:rPr>
          <w:rFonts w:ascii="Arial" w:eastAsia="Calibri" w:hAnsi="Arial"/>
          <w:color w:val="000000" w:themeColor="text1"/>
          <w:kern w:val="24"/>
          <w:sz w:val="20"/>
          <w:szCs w:val="20"/>
          <w:lang w:val="en-US"/>
        </w:rPr>
      </w:pPr>
    </w:p>
    <w:p w14:paraId="380DECF5" w14:textId="09484B59" w:rsidR="00157EFF" w:rsidRDefault="00157EFF" w:rsidP="00157EFF">
      <w:pPr>
        <w:pStyle w:val="NormalWeb"/>
        <w:spacing w:before="0" w:beforeAutospacing="0" w:after="90" w:afterAutospacing="0" w:line="480" w:lineRule="auto"/>
        <w:jc w:val="both"/>
        <w:rPr>
          <w:rFonts w:ascii="Arial" w:eastAsia="Calibri" w:hAnsi="Arial"/>
          <w:color w:val="000000" w:themeColor="text1"/>
          <w:kern w:val="24"/>
          <w:sz w:val="20"/>
          <w:szCs w:val="20"/>
          <w:lang w:val="en-US"/>
        </w:rPr>
      </w:pPr>
    </w:p>
    <w:p w14:paraId="7355F397" w14:textId="436EE13D" w:rsidR="00157EFF" w:rsidRDefault="00157EFF" w:rsidP="00157EFF">
      <w:pPr>
        <w:pStyle w:val="NormalWeb"/>
        <w:spacing w:before="0" w:beforeAutospacing="0" w:after="90" w:afterAutospacing="0" w:line="480" w:lineRule="auto"/>
        <w:jc w:val="both"/>
        <w:rPr>
          <w:rFonts w:ascii="Arial" w:eastAsia="Calibri" w:hAnsi="Arial"/>
          <w:color w:val="000000" w:themeColor="text1"/>
          <w:kern w:val="24"/>
          <w:sz w:val="20"/>
          <w:szCs w:val="20"/>
          <w:lang w:val="en-US"/>
        </w:rPr>
      </w:pPr>
    </w:p>
    <w:p w14:paraId="3FC8AE41" w14:textId="10C5785D" w:rsidR="00157EFF" w:rsidRDefault="00157EFF" w:rsidP="00157EFF">
      <w:pPr>
        <w:pStyle w:val="NormalWeb"/>
        <w:spacing w:line="480" w:lineRule="auto"/>
        <w:rPr>
          <w:rFonts w:ascii="Arial" w:eastAsia="Calibri" w:hAnsi="Arial"/>
          <w:color w:val="000000" w:themeColor="text1"/>
          <w:kern w:val="24"/>
          <w:sz w:val="20"/>
          <w:szCs w:val="20"/>
          <w:lang w:val="en-US"/>
        </w:rPr>
      </w:pPr>
      <w:r w:rsidRPr="00157EFF">
        <w:rPr>
          <w:rFonts w:ascii="Arial" w:eastAsia="Calibri" w:hAnsi="Arial"/>
          <w:b/>
          <w:bCs/>
          <w:color w:val="000000" w:themeColor="text1"/>
          <w:kern w:val="24"/>
          <w:sz w:val="20"/>
          <w:szCs w:val="20"/>
          <w:lang w:val="en-US"/>
        </w:rPr>
        <w:t>Figure 2</w:t>
      </w:r>
      <w:r w:rsidR="00371F6F">
        <w:rPr>
          <w:rFonts w:ascii="Arial" w:eastAsia="Calibri" w:hAnsi="Arial"/>
          <w:b/>
          <w:bCs/>
          <w:color w:val="000000" w:themeColor="text1"/>
          <w:kern w:val="24"/>
          <w:sz w:val="20"/>
          <w:szCs w:val="20"/>
          <w:lang w:val="en-US"/>
        </w:rPr>
        <w:t xml:space="preserve"> </w:t>
      </w:r>
      <w:r w:rsidRPr="00157EFF">
        <w:rPr>
          <w:rFonts w:ascii="Arial" w:eastAsia="Calibri" w:hAnsi="Arial"/>
          <w:b/>
          <w:bCs/>
          <w:color w:val="000000" w:themeColor="text1"/>
          <w:kern w:val="24"/>
          <w:sz w:val="20"/>
          <w:szCs w:val="20"/>
          <w:lang w:val="en-US"/>
        </w:rPr>
        <w:t>S</w:t>
      </w:r>
      <w:r w:rsidR="00371F6F">
        <w:rPr>
          <w:rFonts w:ascii="Arial" w:eastAsia="Calibri" w:hAnsi="Arial"/>
          <w:b/>
          <w:bCs/>
          <w:color w:val="000000" w:themeColor="text1"/>
          <w:kern w:val="24"/>
          <w:sz w:val="20"/>
          <w:szCs w:val="20"/>
          <w:lang w:val="en-US"/>
        </w:rPr>
        <w:t>upplementary Data</w:t>
      </w:r>
      <w:r w:rsidRPr="00157EFF">
        <w:rPr>
          <w:rFonts w:ascii="Arial" w:eastAsia="Calibri" w:hAnsi="Arial"/>
          <w:b/>
          <w:bCs/>
          <w:color w:val="000000" w:themeColor="text1"/>
          <w:kern w:val="24"/>
          <w:sz w:val="20"/>
          <w:szCs w:val="20"/>
          <w:lang w:val="en-US"/>
        </w:rPr>
        <w:t xml:space="preserve">. mRNA Expression of efflux transporters and metabolic enzymes in mice ileum, kidney and liver treated with </w:t>
      </w:r>
      <w:proofErr w:type="spellStart"/>
      <w:r w:rsidRPr="00157EFF">
        <w:rPr>
          <w:rFonts w:ascii="Arial" w:eastAsia="Calibri" w:hAnsi="Arial"/>
          <w:b/>
          <w:bCs/>
          <w:color w:val="000000" w:themeColor="text1"/>
          <w:kern w:val="24"/>
          <w:sz w:val="20"/>
          <w:szCs w:val="20"/>
          <w:lang w:val="en-US"/>
        </w:rPr>
        <w:t>KCl</w:t>
      </w:r>
      <w:proofErr w:type="spellEnd"/>
      <w:r w:rsidRPr="00157EFF">
        <w:rPr>
          <w:rFonts w:ascii="Arial" w:eastAsia="Calibri" w:hAnsi="Arial"/>
          <w:b/>
          <w:bCs/>
          <w:color w:val="000000" w:themeColor="text1"/>
          <w:kern w:val="24"/>
          <w:sz w:val="20"/>
          <w:szCs w:val="20"/>
          <w:lang w:val="en-US"/>
        </w:rPr>
        <w:t xml:space="preserve">/IS and </w:t>
      </w:r>
      <w:proofErr w:type="spellStart"/>
      <w:r w:rsidRPr="00157EFF">
        <w:rPr>
          <w:rFonts w:ascii="Arial" w:eastAsia="Calibri" w:hAnsi="Arial"/>
          <w:b/>
          <w:bCs/>
          <w:color w:val="000000" w:themeColor="text1"/>
          <w:kern w:val="24"/>
          <w:sz w:val="20"/>
          <w:szCs w:val="20"/>
          <w:lang w:val="en-US"/>
        </w:rPr>
        <w:t>KCl</w:t>
      </w:r>
      <w:proofErr w:type="spellEnd"/>
      <w:r w:rsidRPr="00157EFF">
        <w:rPr>
          <w:rFonts w:ascii="Arial" w:eastAsia="Calibri" w:hAnsi="Arial"/>
          <w:b/>
          <w:bCs/>
          <w:color w:val="000000" w:themeColor="text1"/>
          <w:kern w:val="24"/>
          <w:sz w:val="20"/>
          <w:szCs w:val="20"/>
          <w:lang w:val="en-US"/>
        </w:rPr>
        <w:t>/</w:t>
      </w:r>
      <w:proofErr w:type="spellStart"/>
      <w:r w:rsidRPr="00157EFF">
        <w:rPr>
          <w:rFonts w:ascii="Arial" w:eastAsia="Calibri" w:hAnsi="Arial"/>
          <w:b/>
          <w:bCs/>
          <w:color w:val="000000" w:themeColor="text1"/>
          <w:kern w:val="24"/>
          <w:sz w:val="20"/>
          <w:szCs w:val="20"/>
          <w:lang w:val="en-US"/>
        </w:rPr>
        <w:t>IS+Apixaban</w:t>
      </w:r>
      <w:proofErr w:type="spellEnd"/>
      <w:r w:rsidRPr="00157EFF">
        <w:rPr>
          <w:rFonts w:ascii="Arial" w:eastAsia="Calibri" w:hAnsi="Arial"/>
          <w:b/>
          <w:bCs/>
          <w:color w:val="000000" w:themeColor="text1"/>
          <w:kern w:val="24"/>
          <w:sz w:val="20"/>
          <w:szCs w:val="20"/>
          <w:lang w:val="en-US"/>
        </w:rPr>
        <w:t>.</w:t>
      </w:r>
      <w:r w:rsidRPr="00157EFF">
        <w:rPr>
          <w:rFonts w:ascii="Arial" w:eastAsia="Calibri" w:hAnsi="Arial"/>
          <w:color w:val="000000" w:themeColor="text1"/>
          <w:kern w:val="24"/>
          <w:sz w:val="20"/>
          <w:szCs w:val="20"/>
          <w:lang w:val="en-US"/>
        </w:rPr>
        <w:t xml:space="preserve"> Kruskal Wallis statistical </w:t>
      </w:r>
      <w:r w:rsidRPr="00157EFF">
        <w:rPr>
          <w:rFonts w:ascii="Arial" w:eastAsia="Calibri" w:hAnsi="Arial"/>
          <w:color w:val="000000" w:themeColor="text1"/>
          <w:kern w:val="24"/>
          <w:sz w:val="20"/>
          <w:szCs w:val="20"/>
          <w:lang w:val="en-US"/>
        </w:rPr>
        <w:lastRenderedPageBreak/>
        <w:t>test followed by Dunn’s test to correct for multiple comparisons was performed. Pairwise comparisons - Males vs. Females - were performed using Mann-Whitney U test. Data shown as median with interquartile range *p ≤ 0.05, **p ≤ 0.01, ***p ≤ 0.001, ****p ≤ 0.0001 (n=3-12)</w:t>
      </w:r>
    </w:p>
    <w:p w14:paraId="5CE5E2A5" w14:textId="78A00ADF" w:rsidR="00157EFF" w:rsidRDefault="00157EFF" w:rsidP="00157EFF">
      <w:pPr>
        <w:pStyle w:val="NormalWeb"/>
        <w:spacing w:line="480" w:lineRule="auto"/>
        <w:rPr>
          <w:rFonts w:ascii="Arial" w:eastAsia="Calibri" w:hAnsi="Arial"/>
          <w:color w:val="000000" w:themeColor="text1"/>
          <w:kern w:val="24"/>
          <w:sz w:val="20"/>
          <w:szCs w:val="20"/>
          <w:lang w:val="en-US"/>
        </w:rPr>
      </w:pPr>
      <w:r>
        <w:rPr>
          <w:rFonts w:ascii="Arial" w:eastAsia="Calibri" w:hAnsi="Arial"/>
          <w:noProof/>
          <w:color w:val="000000" w:themeColor="text1"/>
          <w:kern w:val="24"/>
          <w:sz w:val="20"/>
          <w:szCs w:val="20"/>
          <w:lang w:val="en-US"/>
        </w:rPr>
        <w:lastRenderedPageBreak/>
        <w:drawing>
          <wp:inline distT="0" distB="0" distL="0" distR="0" wp14:anchorId="4326028E" wp14:editId="34032B47">
            <wp:extent cx="5676900" cy="8625406"/>
            <wp:effectExtent l="0" t="0" r="0" b="4445"/>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714929" cy="8683186"/>
                    </a:xfrm>
                    <a:prstGeom prst="rect">
                      <a:avLst/>
                    </a:prstGeom>
                    <a:noFill/>
                  </pic:spPr>
                </pic:pic>
              </a:graphicData>
            </a:graphic>
          </wp:inline>
        </w:drawing>
      </w:r>
    </w:p>
    <w:p w14:paraId="6597C894" w14:textId="1E077736" w:rsidR="00371F6F" w:rsidRDefault="00371F6F" w:rsidP="00371F6F">
      <w:pPr>
        <w:pStyle w:val="NormalWeb"/>
        <w:spacing w:line="480" w:lineRule="auto"/>
        <w:rPr>
          <w:rFonts w:ascii="Arial" w:eastAsia="Calibri" w:hAnsi="Arial"/>
          <w:color w:val="000000" w:themeColor="text1"/>
          <w:kern w:val="24"/>
          <w:sz w:val="20"/>
          <w:szCs w:val="20"/>
          <w:lang w:val="en-US"/>
        </w:rPr>
      </w:pPr>
      <w:r>
        <w:rPr>
          <w:rFonts w:ascii="Arial" w:eastAsia="Calibri" w:hAnsi="Arial"/>
          <w:noProof/>
          <w:color w:val="000000" w:themeColor="text1"/>
          <w:kern w:val="24"/>
          <w:sz w:val="20"/>
          <w:szCs w:val="20"/>
          <w:lang w:val="en-US"/>
        </w:rPr>
        <w:lastRenderedPageBreak/>
        <w:drawing>
          <wp:anchor distT="0" distB="0" distL="114300" distR="114300" simplePos="0" relativeHeight="251660288" behindDoc="0" locked="0" layoutInCell="1" allowOverlap="1" wp14:anchorId="07A3AEDF" wp14:editId="1F752797">
            <wp:simplePos x="0" y="0"/>
            <wp:positionH relativeFrom="page">
              <wp:align>right</wp:align>
            </wp:positionH>
            <wp:positionV relativeFrom="paragraph">
              <wp:posOffset>1033780</wp:posOffset>
            </wp:positionV>
            <wp:extent cx="6701155" cy="3204976"/>
            <wp:effectExtent l="0" t="0" r="0" b="0"/>
            <wp:wrapTopAndBottom/>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701155" cy="3204976"/>
                    </a:xfrm>
                    <a:prstGeom prst="rect">
                      <a:avLst/>
                    </a:prstGeom>
                    <a:noFill/>
                  </pic:spPr>
                </pic:pic>
              </a:graphicData>
            </a:graphic>
          </wp:anchor>
        </w:drawing>
      </w:r>
      <w:r w:rsidRPr="00371F6F">
        <w:rPr>
          <w:rFonts w:ascii="Arial" w:eastAsia="Calibri" w:hAnsi="Arial"/>
          <w:b/>
          <w:bCs/>
          <w:color w:val="000000" w:themeColor="text1"/>
          <w:kern w:val="24"/>
          <w:sz w:val="20"/>
          <w:szCs w:val="20"/>
          <w:lang w:val="en-US"/>
        </w:rPr>
        <w:t>Figure 3</w:t>
      </w:r>
      <w:r>
        <w:rPr>
          <w:rFonts w:ascii="Arial" w:eastAsia="Calibri" w:hAnsi="Arial"/>
          <w:b/>
          <w:bCs/>
          <w:color w:val="000000" w:themeColor="text1"/>
          <w:kern w:val="24"/>
          <w:sz w:val="20"/>
          <w:szCs w:val="20"/>
          <w:lang w:val="en-US"/>
        </w:rPr>
        <w:t xml:space="preserve"> </w:t>
      </w:r>
      <w:r w:rsidRPr="00371F6F">
        <w:rPr>
          <w:rFonts w:ascii="Arial" w:eastAsia="Calibri" w:hAnsi="Arial"/>
          <w:b/>
          <w:bCs/>
          <w:color w:val="000000" w:themeColor="text1"/>
          <w:kern w:val="24"/>
          <w:sz w:val="20"/>
          <w:szCs w:val="20"/>
          <w:lang w:val="en-US"/>
        </w:rPr>
        <w:t>S</w:t>
      </w:r>
      <w:r>
        <w:rPr>
          <w:rFonts w:ascii="Arial" w:eastAsia="Calibri" w:hAnsi="Arial"/>
          <w:b/>
          <w:bCs/>
          <w:color w:val="000000" w:themeColor="text1"/>
          <w:kern w:val="24"/>
          <w:sz w:val="20"/>
          <w:szCs w:val="20"/>
          <w:lang w:val="en-US"/>
        </w:rPr>
        <w:t>upplementary Data</w:t>
      </w:r>
      <w:r w:rsidRPr="00371F6F">
        <w:rPr>
          <w:rFonts w:ascii="Arial" w:eastAsia="Calibri" w:hAnsi="Arial"/>
          <w:b/>
          <w:bCs/>
          <w:color w:val="000000" w:themeColor="text1"/>
          <w:kern w:val="24"/>
          <w:sz w:val="20"/>
          <w:szCs w:val="20"/>
          <w:lang w:val="en-US"/>
        </w:rPr>
        <w:t xml:space="preserve">. mRNA Expression of Scl22a6 (A) and Scl22a8 (B) in mice kidney. </w:t>
      </w:r>
      <w:r w:rsidRPr="00371F6F">
        <w:rPr>
          <w:rFonts w:ascii="Arial" w:eastAsia="Calibri" w:hAnsi="Arial"/>
          <w:color w:val="000000" w:themeColor="text1"/>
          <w:kern w:val="24"/>
          <w:sz w:val="20"/>
          <w:szCs w:val="20"/>
          <w:lang w:val="en-US"/>
        </w:rPr>
        <w:t>Pairwise comparisons - Males vs. Females - were performed using Mann-Whitney U test. Data shown as median with interquartile range *p ≤ 0.05, **p ≤ 0.01, ***p ≤ 0.001, ****p ≤ 0.0001 (n=5-12).</w:t>
      </w:r>
    </w:p>
    <w:p w14:paraId="6334DB0C" w14:textId="6C7C7E94" w:rsidR="00371F6F" w:rsidRDefault="00371F6F" w:rsidP="00371F6F">
      <w:pPr>
        <w:pStyle w:val="NormalWeb"/>
        <w:spacing w:line="480" w:lineRule="auto"/>
        <w:rPr>
          <w:rFonts w:ascii="Arial" w:eastAsia="Calibri" w:hAnsi="Arial"/>
          <w:color w:val="000000" w:themeColor="text1"/>
          <w:kern w:val="24"/>
          <w:sz w:val="20"/>
          <w:szCs w:val="20"/>
          <w:lang w:val="en-US"/>
        </w:rPr>
      </w:pPr>
    </w:p>
    <w:p w14:paraId="771FFBD1" w14:textId="77777777" w:rsidR="00371F6F" w:rsidRDefault="00371F6F" w:rsidP="00371F6F">
      <w:pPr>
        <w:pStyle w:val="NormalWeb"/>
        <w:spacing w:line="480" w:lineRule="auto"/>
        <w:rPr>
          <w:rFonts w:ascii="Arial" w:eastAsia="Calibri" w:hAnsi="Arial"/>
          <w:b/>
          <w:bCs/>
          <w:color w:val="000000" w:themeColor="text1"/>
          <w:kern w:val="24"/>
          <w:sz w:val="20"/>
          <w:szCs w:val="20"/>
          <w:lang w:val="en-US"/>
        </w:rPr>
      </w:pPr>
    </w:p>
    <w:p w14:paraId="74CBC2E0" w14:textId="77777777" w:rsidR="00371F6F" w:rsidRDefault="00371F6F" w:rsidP="00371F6F">
      <w:pPr>
        <w:pStyle w:val="NormalWeb"/>
        <w:spacing w:line="480" w:lineRule="auto"/>
        <w:rPr>
          <w:rFonts w:ascii="Arial" w:eastAsia="Calibri" w:hAnsi="Arial"/>
          <w:b/>
          <w:bCs/>
          <w:color w:val="000000" w:themeColor="text1"/>
          <w:kern w:val="24"/>
          <w:sz w:val="20"/>
          <w:szCs w:val="20"/>
          <w:lang w:val="en-US"/>
        </w:rPr>
      </w:pPr>
    </w:p>
    <w:p w14:paraId="42143DC1" w14:textId="77777777" w:rsidR="00371F6F" w:rsidRDefault="00371F6F" w:rsidP="00371F6F">
      <w:pPr>
        <w:pStyle w:val="NormalWeb"/>
        <w:spacing w:line="480" w:lineRule="auto"/>
        <w:rPr>
          <w:rFonts w:ascii="Arial" w:eastAsia="Calibri" w:hAnsi="Arial"/>
          <w:b/>
          <w:bCs/>
          <w:color w:val="000000" w:themeColor="text1"/>
          <w:kern w:val="24"/>
          <w:sz w:val="20"/>
          <w:szCs w:val="20"/>
          <w:lang w:val="en-US"/>
        </w:rPr>
      </w:pPr>
    </w:p>
    <w:p w14:paraId="03EA6869" w14:textId="77777777" w:rsidR="00371F6F" w:rsidRDefault="00371F6F" w:rsidP="00371F6F">
      <w:pPr>
        <w:pStyle w:val="NormalWeb"/>
        <w:spacing w:line="480" w:lineRule="auto"/>
        <w:rPr>
          <w:rFonts w:ascii="Arial" w:eastAsia="Calibri" w:hAnsi="Arial"/>
          <w:b/>
          <w:bCs/>
          <w:color w:val="000000" w:themeColor="text1"/>
          <w:kern w:val="24"/>
          <w:sz w:val="20"/>
          <w:szCs w:val="20"/>
          <w:lang w:val="en-US"/>
        </w:rPr>
      </w:pPr>
    </w:p>
    <w:p w14:paraId="657C0F4E" w14:textId="77777777" w:rsidR="00371F6F" w:rsidRDefault="00371F6F" w:rsidP="00371F6F">
      <w:pPr>
        <w:pStyle w:val="NormalWeb"/>
        <w:spacing w:line="480" w:lineRule="auto"/>
        <w:rPr>
          <w:rFonts w:ascii="Arial" w:eastAsia="Calibri" w:hAnsi="Arial"/>
          <w:b/>
          <w:bCs/>
          <w:color w:val="000000" w:themeColor="text1"/>
          <w:kern w:val="24"/>
          <w:sz w:val="20"/>
          <w:szCs w:val="20"/>
          <w:lang w:val="en-US"/>
        </w:rPr>
      </w:pPr>
    </w:p>
    <w:p w14:paraId="0FEB8264" w14:textId="77777777" w:rsidR="00371F6F" w:rsidRDefault="00371F6F" w:rsidP="00371F6F">
      <w:pPr>
        <w:pStyle w:val="NormalWeb"/>
        <w:spacing w:line="480" w:lineRule="auto"/>
        <w:rPr>
          <w:rFonts w:ascii="Arial" w:eastAsia="Calibri" w:hAnsi="Arial"/>
          <w:b/>
          <w:bCs/>
          <w:color w:val="000000" w:themeColor="text1"/>
          <w:kern w:val="24"/>
          <w:sz w:val="20"/>
          <w:szCs w:val="20"/>
          <w:lang w:val="en-US"/>
        </w:rPr>
      </w:pPr>
    </w:p>
    <w:p w14:paraId="6E2E28F6" w14:textId="77777777" w:rsidR="00371F6F" w:rsidRDefault="00371F6F" w:rsidP="00371F6F">
      <w:pPr>
        <w:pStyle w:val="NormalWeb"/>
        <w:spacing w:line="480" w:lineRule="auto"/>
        <w:rPr>
          <w:rFonts w:ascii="Arial" w:eastAsia="Calibri" w:hAnsi="Arial"/>
          <w:b/>
          <w:bCs/>
          <w:color w:val="000000" w:themeColor="text1"/>
          <w:kern w:val="24"/>
          <w:sz w:val="20"/>
          <w:szCs w:val="20"/>
          <w:lang w:val="en-US"/>
        </w:rPr>
      </w:pPr>
    </w:p>
    <w:p w14:paraId="4E582071" w14:textId="77777777" w:rsidR="00371F6F" w:rsidRDefault="00371F6F" w:rsidP="00371F6F">
      <w:pPr>
        <w:pStyle w:val="NormalWeb"/>
        <w:spacing w:line="480" w:lineRule="auto"/>
        <w:rPr>
          <w:rFonts w:ascii="Arial" w:eastAsia="Calibri" w:hAnsi="Arial"/>
          <w:b/>
          <w:bCs/>
          <w:color w:val="000000" w:themeColor="text1"/>
          <w:kern w:val="24"/>
          <w:sz w:val="20"/>
          <w:szCs w:val="20"/>
          <w:lang w:val="en-US"/>
        </w:rPr>
      </w:pPr>
    </w:p>
    <w:p w14:paraId="540BBE4B" w14:textId="77777777" w:rsidR="00371F6F" w:rsidRDefault="00371F6F" w:rsidP="00371F6F">
      <w:pPr>
        <w:pStyle w:val="NormalWeb"/>
        <w:spacing w:line="480" w:lineRule="auto"/>
        <w:rPr>
          <w:rFonts w:ascii="Arial" w:eastAsia="Calibri" w:hAnsi="Arial"/>
          <w:b/>
          <w:bCs/>
          <w:color w:val="000000" w:themeColor="text1"/>
          <w:kern w:val="24"/>
          <w:sz w:val="20"/>
          <w:szCs w:val="20"/>
          <w:lang w:val="en-US"/>
        </w:rPr>
      </w:pPr>
    </w:p>
    <w:p w14:paraId="326EFD71" w14:textId="7C05DA2D" w:rsidR="00371F6F" w:rsidRDefault="00371F6F" w:rsidP="00371F6F">
      <w:pPr>
        <w:pStyle w:val="NormalWeb"/>
        <w:spacing w:line="480" w:lineRule="auto"/>
        <w:rPr>
          <w:rFonts w:ascii="Arial" w:eastAsia="Calibri" w:hAnsi="Arial"/>
          <w:color w:val="000000" w:themeColor="text1"/>
          <w:kern w:val="24"/>
          <w:sz w:val="20"/>
          <w:szCs w:val="20"/>
          <w:lang w:val="en-US"/>
        </w:rPr>
      </w:pPr>
      <w:r w:rsidRPr="00371F6F">
        <w:rPr>
          <w:rFonts w:ascii="Arial" w:eastAsia="Calibri" w:hAnsi="Arial"/>
          <w:b/>
          <w:bCs/>
          <w:color w:val="000000" w:themeColor="text1"/>
          <w:kern w:val="24"/>
          <w:sz w:val="20"/>
          <w:szCs w:val="20"/>
          <w:lang w:val="en-US"/>
        </w:rPr>
        <w:lastRenderedPageBreak/>
        <w:t>Figure 4</w:t>
      </w:r>
      <w:r>
        <w:rPr>
          <w:rFonts w:ascii="Arial" w:eastAsia="Calibri" w:hAnsi="Arial"/>
          <w:b/>
          <w:bCs/>
          <w:color w:val="000000" w:themeColor="text1"/>
          <w:kern w:val="24"/>
          <w:sz w:val="20"/>
          <w:szCs w:val="20"/>
          <w:lang w:val="en-US"/>
        </w:rPr>
        <w:t xml:space="preserve"> </w:t>
      </w:r>
      <w:r w:rsidRPr="00371F6F">
        <w:rPr>
          <w:rFonts w:ascii="Arial" w:eastAsia="Calibri" w:hAnsi="Arial"/>
          <w:b/>
          <w:bCs/>
          <w:color w:val="000000" w:themeColor="text1"/>
          <w:kern w:val="24"/>
          <w:sz w:val="20"/>
          <w:szCs w:val="20"/>
          <w:lang w:val="en-US"/>
        </w:rPr>
        <w:t>S</w:t>
      </w:r>
      <w:r>
        <w:rPr>
          <w:rFonts w:ascii="Arial" w:eastAsia="Calibri" w:hAnsi="Arial"/>
          <w:b/>
          <w:bCs/>
          <w:color w:val="000000" w:themeColor="text1"/>
          <w:kern w:val="24"/>
          <w:sz w:val="20"/>
          <w:szCs w:val="20"/>
          <w:lang w:val="en-US"/>
        </w:rPr>
        <w:t>upplementary Data</w:t>
      </w:r>
      <w:r w:rsidRPr="00371F6F">
        <w:rPr>
          <w:rFonts w:ascii="Arial" w:eastAsia="Calibri" w:hAnsi="Arial"/>
          <w:b/>
          <w:bCs/>
          <w:color w:val="000000" w:themeColor="text1"/>
          <w:kern w:val="24"/>
          <w:sz w:val="20"/>
          <w:szCs w:val="20"/>
          <w:lang w:val="en-US"/>
        </w:rPr>
        <w:t xml:space="preserve">. mRNA Expression of metabolic enzymes in ileum and kidney in mice treated with </w:t>
      </w:r>
      <w:proofErr w:type="spellStart"/>
      <w:r w:rsidRPr="00371F6F">
        <w:rPr>
          <w:rFonts w:ascii="Arial" w:eastAsia="Calibri" w:hAnsi="Arial"/>
          <w:b/>
          <w:bCs/>
          <w:color w:val="000000" w:themeColor="text1"/>
          <w:kern w:val="24"/>
          <w:sz w:val="20"/>
          <w:szCs w:val="20"/>
          <w:lang w:val="en-US"/>
        </w:rPr>
        <w:t>KCl</w:t>
      </w:r>
      <w:proofErr w:type="spellEnd"/>
      <w:r w:rsidRPr="00371F6F">
        <w:rPr>
          <w:rFonts w:ascii="Arial" w:eastAsia="Calibri" w:hAnsi="Arial"/>
          <w:b/>
          <w:bCs/>
          <w:color w:val="000000" w:themeColor="text1"/>
          <w:kern w:val="24"/>
          <w:sz w:val="20"/>
          <w:szCs w:val="20"/>
          <w:lang w:val="en-US"/>
        </w:rPr>
        <w:t xml:space="preserve"> (control) or IS.</w:t>
      </w:r>
      <w:r w:rsidRPr="00371F6F">
        <w:rPr>
          <w:rFonts w:ascii="Arial" w:eastAsia="Calibri" w:hAnsi="Arial"/>
          <w:color w:val="000000" w:themeColor="text1"/>
          <w:kern w:val="24"/>
          <w:sz w:val="20"/>
          <w:szCs w:val="20"/>
          <w:lang w:val="en-US"/>
        </w:rPr>
        <w:t xml:space="preserve"> Kruskal Wallis statistical test followed by Dunn’s test to correct for multiple comparisons was performed. Pairwise comparisons - Males vs. Females - were performed using Mann-Whitney U test. Data shown as median with interquartile range *p ≤ 0.05, **p ≤ 0.01, ***p ≤ 0.001 (n = 5-9).</w:t>
      </w:r>
    </w:p>
    <w:p w14:paraId="078FEC35" w14:textId="285CDA5B" w:rsidR="00371F6F" w:rsidRDefault="00371F6F" w:rsidP="00371F6F">
      <w:pPr>
        <w:pStyle w:val="NormalWeb"/>
        <w:spacing w:line="480" w:lineRule="auto"/>
        <w:rPr>
          <w:rFonts w:ascii="Arial" w:eastAsia="Calibri" w:hAnsi="Arial"/>
          <w:color w:val="000000" w:themeColor="text1"/>
          <w:kern w:val="24"/>
          <w:sz w:val="20"/>
          <w:szCs w:val="20"/>
          <w:lang w:val="en-US"/>
        </w:rPr>
      </w:pPr>
      <w:r>
        <w:rPr>
          <w:rFonts w:ascii="Arial" w:eastAsia="Calibri" w:hAnsi="Arial"/>
          <w:noProof/>
          <w:color w:val="000000" w:themeColor="text1"/>
          <w:kern w:val="24"/>
          <w:sz w:val="20"/>
          <w:szCs w:val="20"/>
          <w:lang w:val="en-US"/>
        </w:rPr>
        <w:drawing>
          <wp:inline distT="0" distB="0" distL="0" distR="0" wp14:anchorId="063AD7BD" wp14:editId="3CC3388A">
            <wp:extent cx="5992115" cy="2726055"/>
            <wp:effectExtent l="0" t="0" r="8890" b="0"/>
            <wp:docPr id="29" name="Imag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96411" cy="2728010"/>
                    </a:xfrm>
                    <a:prstGeom prst="rect">
                      <a:avLst/>
                    </a:prstGeom>
                    <a:noFill/>
                  </pic:spPr>
                </pic:pic>
              </a:graphicData>
            </a:graphic>
          </wp:inline>
        </w:drawing>
      </w:r>
    </w:p>
    <w:p w14:paraId="0D318ED5" w14:textId="4C27EBFA" w:rsidR="00371F6F" w:rsidRDefault="00371F6F" w:rsidP="00371F6F">
      <w:pPr>
        <w:pStyle w:val="NormalWeb"/>
        <w:spacing w:line="480" w:lineRule="auto"/>
        <w:rPr>
          <w:rFonts w:ascii="Arial" w:eastAsia="Calibri" w:hAnsi="Arial"/>
          <w:color w:val="000000" w:themeColor="text1"/>
          <w:kern w:val="24"/>
          <w:sz w:val="20"/>
          <w:szCs w:val="20"/>
          <w:lang w:val="en-US"/>
        </w:rPr>
      </w:pPr>
    </w:p>
    <w:p w14:paraId="3294BA9A" w14:textId="0EC76530" w:rsidR="00371F6F" w:rsidRDefault="00371F6F" w:rsidP="00371F6F">
      <w:pPr>
        <w:pStyle w:val="NormalWeb"/>
        <w:spacing w:line="480" w:lineRule="auto"/>
        <w:rPr>
          <w:rFonts w:ascii="Arial" w:eastAsia="Calibri" w:hAnsi="Arial"/>
          <w:color w:val="000000" w:themeColor="text1"/>
          <w:kern w:val="24"/>
          <w:sz w:val="20"/>
          <w:szCs w:val="20"/>
          <w:lang w:val="en-US"/>
        </w:rPr>
      </w:pPr>
    </w:p>
    <w:p w14:paraId="1281A19B" w14:textId="12216F82" w:rsidR="00371F6F" w:rsidRDefault="00371F6F" w:rsidP="00371F6F">
      <w:pPr>
        <w:pStyle w:val="NormalWeb"/>
        <w:spacing w:line="480" w:lineRule="auto"/>
        <w:rPr>
          <w:rFonts w:ascii="Arial" w:eastAsia="Calibri" w:hAnsi="Arial"/>
          <w:color w:val="000000" w:themeColor="text1"/>
          <w:kern w:val="24"/>
          <w:sz w:val="20"/>
          <w:szCs w:val="20"/>
          <w:lang w:val="en-US"/>
        </w:rPr>
      </w:pPr>
    </w:p>
    <w:p w14:paraId="27BF8A8C" w14:textId="7A32D8CC" w:rsidR="00371F6F" w:rsidRDefault="00371F6F" w:rsidP="00371F6F">
      <w:pPr>
        <w:pStyle w:val="NormalWeb"/>
        <w:spacing w:line="480" w:lineRule="auto"/>
        <w:rPr>
          <w:rFonts w:ascii="Arial" w:eastAsia="Calibri" w:hAnsi="Arial"/>
          <w:color w:val="000000" w:themeColor="text1"/>
          <w:kern w:val="24"/>
          <w:sz w:val="20"/>
          <w:szCs w:val="20"/>
          <w:lang w:val="en-US"/>
        </w:rPr>
      </w:pPr>
    </w:p>
    <w:p w14:paraId="0BB4164E" w14:textId="16C85C1F" w:rsidR="00371F6F" w:rsidRDefault="00371F6F" w:rsidP="00371F6F">
      <w:pPr>
        <w:pStyle w:val="NormalWeb"/>
        <w:spacing w:line="480" w:lineRule="auto"/>
        <w:rPr>
          <w:rFonts w:ascii="Arial" w:eastAsia="Calibri" w:hAnsi="Arial"/>
          <w:color w:val="000000" w:themeColor="text1"/>
          <w:kern w:val="24"/>
          <w:sz w:val="20"/>
          <w:szCs w:val="20"/>
          <w:lang w:val="en-US"/>
        </w:rPr>
      </w:pPr>
    </w:p>
    <w:p w14:paraId="1F82C411" w14:textId="76A8797E" w:rsidR="00371F6F" w:rsidRDefault="00371F6F" w:rsidP="00371F6F">
      <w:pPr>
        <w:pStyle w:val="NormalWeb"/>
        <w:spacing w:line="480" w:lineRule="auto"/>
        <w:rPr>
          <w:rFonts w:ascii="Arial" w:eastAsia="Calibri" w:hAnsi="Arial"/>
          <w:color w:val="000000" w:themeColor="text1"/>
          <w:kern w:val="24"/>
          <w:sz w:val="20"/>
          <w:szCs w:val="20"/>
          <w:lang w:val="en-US"/>
        </w:rPr>
      </w:pPr>
    </w:p>
    <w:p w14:paraId="3849D541" w14:textId="0386E978" w:rsidR="00371F6F" w:rsidRDefault="00371F6F" w:rsidP="00371F6F">
      <w:pPr>
        <w:pStyle w:val="NormalWeb"/>
        <w:spacing w:line="480" w:lineRule="auto"/>
        <w:rPr>
          <w:rFonts w:ascii="Arial" w:eastAsia="Calibri" w:hAnsi="Arial"/>
          <w:color w:val="000000" w:themeColor="text1"/>
          <w:kern w:val="24"/>
          <w:sz w:val="20"/>
          <w:szCs w:val="20"/>
          <w:lang w:val="en-US"/>
        </w:rPr>
      </w:pPr>
    </w:p>
    <w:p w14:paraId="69B765AD" w14:textId="3BC489D2" w:rsidR="00371F6F" w:rsidRDefault="00371F6F" w:rsidP="00371F6F">
      <w:pPr>
        <w:pStyle w:val="NormalWeb"/>
        <w:spacing w:line="480" w:lineRule="auto"/>
        <w:rPr>
          <w:rFonts w:ascii="Arial" w:eastAsia="Calibri" w:hAnsi="Arial"/>
          <w:color w:val="000000" w:themeColor="text1"/>
          <w:kern w:val="24"/>
          <w:sz w:val="20"/>
          <w:szCs w:val="20"/>
          <w:lang w:val="en-US"/>
        </w:rPr>
      </w:pPr>
    </w:p>
    <w:p w14:paraId="62B5AC31" w14:textId="6E9BC501" w:rsidR="00371F6F" w:rsidRDefault="00371F6F" w:rsidP="00371F6F">
      <w:pPr>
        <w:pStyle w:val="NormalWeb"/>
        <w:spacing w:line="480" w:lineRule="auto"/>
        <w:rPr>
          <w:rFonts w:ascii="Arial" w:eastAsia="Calibri" w:hAnsi="Arial"/>
          <w:color w:val="000000" w:themeColor="text1"/>
          <w:kern w:val="24"/>
          <w:sz w:val="20"/>
          <w:szCs w:val="20"/>
          <w:lang w:val="en-US"/>
        </w:rPr>
      </w:pPr>
    </w:p>
    <w:p w14:paraId="2DF5BC6E" w14:textId="1C9923F1" w:rsidR="00371F6F" w:rsidRDefault="00371F6F" w:rsidP="00371F6F">
      <w:pPr>
        <w:pStyle w:val="NormalWeb"/>
        <w:spacing w:line="480" w:lineRule="auto"/>
        <w:rPr>
          <w:rFonts w:ascii="Arial" w:eastAsia="Calibri" w:hAnsi="Arial"/>
          <w:color w:val="000000" w:themeColor="text1"/>
          <w:kern w:val="24"/>
          <w:sz w:val="20"/>
          <w:szCs w:val="20"/>
          <w:lang w:val="en-US"/>
        </w:rPr>
      </w:pPr>
      <w:r>
        <w:rPr>
          <w:rFonts w:ascii="Arial" w:eastAsia="Calibri" w:hAnsi="Arial"/>
          <w:noProof/>
          <w:color w:val="000000" w:themeColor="text1"/>
          <w:kern w:val="24"/>
          <w:sz w:val="20"/>
          <w:szCs w:val="20"/>
          <w:lang w:val="en-US"/>
        </w:rPr>
        <w:lastRenderedPageBreak/>
        <w:drawing>
          <wp:anchor distT="0" distB="0" distL="114300" distR="114300" simplePos="0" relativeHeight="251661312" behindDoc="0" locked="0" layoutInCell="1" allowOverlap="1" wp14:anchorId="5343FDA6" wp14:editId="3A049B22">
            <wp:simplePos x="0" y="0"/>
            <wp:positionH relativeFrom="margin">
              <wp:align>left</wp:align>
            </wp:positionH>
            <wp:positionV relativeFrom="paragraph">
              <wp:posOffset>1433830</wp:posOffset>
            </wp:positionV>
            <wp:extent cx="6199505" cy="5524500"/>
            <wp:effectExtent l="0" t="0" r="0" b="0"/>
            <wp:wrapTopAndBottom/>
            <wp:docPr id="36" name="Imag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199505" cy="5524500"/>
                    </a:xfrm>
                    <a:prstGeom prst="rect">
                      <a:avLst/>
                    </a:prstGeom>
                    <a:noFill/>
                  </pic:spPr>
                </pic:pic>
              </a:graphicData>
            </a:graphic>
          </wp:anchor>
        </w:drawing>
      </w:r>
      <w:r w:rsidRPr="00371F6F">
        <w:rPr>
          <w:rFonts w:ascii="Arial" w:eastAsia="Calibri" w:hAnsi="Arial"/>
          <w:b/>
          <w:bCs/>
          <w:color w:val="000000" w:themeColor="text1"/>
          <w:kern w:val="24"/>
          <w:sz w:val="20"/>
          <w:szCs w:val="20"/>
          <w:lang w:val="en-US"/>
        </w:rPr>
        <w:t>Figure 5</w:t>
      </w:r>
      <w:r>
        <w:rPr>
          <w:rFonts w:ascii="Arial" w:eastAsia="Calibri" w:hAnsi="Arial"/>
          <w:b/>
          <w:bCs/>
          <w:color w:val="000000" w:themeColor="text1"/>
          <w:kern w:val="24"/>
          <w:sz w:val="20"/>
          <w:szCs w:val="20"/>
          <w:lang w:val="en-US"/>
        </w:rPr>
        <w:t xml:space="preserve"> </w:t>
      </w:r>
      <w:r w:rsidRPr="00371F6F">
        <w:rPr>
          <w:rFonts w:ascii="Arial" w:eastAsia="Calibri" w:hAnsi="Arial"/>
          <w:b/>
          <w:bCs/>
          <w:color w:val="000000" w:themeColor="text1"/>
          <w:kern w:val="24"/>
          <w:sz w:val="20"/>
          <w:szCs w:val="20"/>
          <w:lang w:val="en-US"/>
        </w:rPr>
        <w:t>S</w:t>
      </w:r>
      <w:r>
        <w:rPr>
          <w:rFonts w:ascii="Arial" w:eastAsia="Calibri" w:hAnsi="Arial"/>
          <w:b/>
          <w:bCs/>
          <w:color w:val="000000" w:themeColor="text1"/>
          <w:kern w:val="24"/>
          <w:sz w:val="20"/>
          <w:szCs w:val="20"/>
          <w:lang w:val="en-US"/>
        </w:rPr>
        <w:t>upplementary Data</w:t>
      </w:r>
      <w:r w:rsidRPr="00371F6F">
        <w:rPr>
          <w:rFonts w:ascii="Arial" w:eastAsia="Calibri" w:hAnsi="Arial"/>
          <w:b/>
          <w:bCs/>
          <w:color w:val="000000" w:themeColor="text1"/>
          <w:kern w:val="24"/>
          <w:sz w:val="20"/>
          <w:szCs w:val="20"/>
          <w:lang w:val="en-US"/>
        </w:rPr>
        <w:t xml:space="preserve">. mRNA Expression of metabolic enzymes in liver of WT or </w:t>
      </w:r>
      <w:proofErr w:type="spellStart"/>
      <w:r w:rsidRPr="00371F6F">
        <w:rPr>
          <w:rFonts w:ascii="Arial" w:eastAsia="Calibri" w:hAnsi="Arial"/>
          <w:b/>
          <w:bCs/>
          <w:color w:val="000000" w:themeColor="text1"/>
          <w:kern w:val="24"/>
          <w:sz w:val="20"/>
          <w:szCs w:val="20"/>
          <w:lang w:val="en-US"/>
        </w:rPr>
        <w:t>AhR</w:t>
      </w:r>
      <w:proofErr w:type="spellEnd"/>
      <w:r w:rsidRPr="00371F6F">
        <w:rPr>
          <w:rFonts w:ascii="Arial" w:eastAsia="Calibri" w:hAnsi="Arial"/>
          <w:b/>
          <w:bCs/>
          <w:color w:val="000000" w:themeColor="text1"/>
          <w:kern w:val="24"/>
          <w:sz w:val="20"/>
          <w:szCs w:val="20"/>
          <w:vertAlign w:val="superscript"/>
          <w:lang w:val="en-US"/>
        </w:rPr>
        <w:t>-/-</w:t>
      </w:r>
      <w:r w:rsidRPr="00371F6F">
        <w:rPr>
          <w:rFonts w:ascii="Arial" w:eastAsia="Calibri" w:hAnsi="Arial"/>
          <w:b/>
          <w:bCs/>
          <w:color w:val="000000" w:themeColor="text1"/>
          <w:kern w:val="24"/>
          <w:sz w:val="20"/>
          <w:szCs w:val="20"/>
          <w:lang w:val="en-US"/>
        </w:rPr>
        <w:t xml:space="preserve">mice treated with </w:t>
      </w:r>
      <w:proofErr w:type="spellStart"/>
      <w:r w:rsidRPr="00371F6F">
        <w:rPr>
          <w:rFonts w:ascii="Arial" w:eastAsia="Calibri" w:hAnsi="Arial"/>
          <w:b/>
          <w:bCs/>
          <w:color w:val="000000" w:themeColor="text1"/>
          <w:kern w:val="24"/>
          <w:sz w:val="20"/>
          <w:szCs w:val="20"/>
          <w:lang w:val="en-US"/>
        </w:rPr>
        <w:t>KCl</w:t>
      </w:r>
      <w:proofErr w:type="spellEnd"/>
      <w:r w:rsidRPr="00371F6F">
        <w:rPr>
          <w:rFonts w:ascii="Arial" w:eastAsia="Calibri" w:hAnsi="Arial"/>
          <w:b/>
          <w:bCs/>
          <w:color w:val="000000" w:themeColor="text1"/>
          <w:kern w:val="24"/>
          <w:sz w:val="20"/>
          <w:szCs w:val="20"/>
          <w:lang w:val="en-US"/>
        </w:rPr>
        <w:t xml:space="preserve"> (control) or IS. </w:t>
      </w:r>
      <w:r w:rsidRPr="00371F6F">
        <w:rPr>
          <w:rFonts w:ascii="Arial" w:eastAsia="Calibri" w:hAnsi="Arial"/>
          <w:color w:val="000000" w:themeColor="text1"/>
          <w:kern w:val="24"/>
          <w:sz w:val="20"/>
          <w:szCs w:val="20"/>
          <w:lang w:val="en-US"/>
        </w:rPr>
        <w:t>Kruskal Wallis statistical test followed by Dunn’s test to correct for multiple comparisons was performed. Pairwise comparisons - Males vs. Females - were performed using Mann-Whitney U test. Data shown as median with interquartile range *p ≤ 0.05, **p ≤ 0.01, ***p ≤ 0.001 (n=5-9).</w:t>
      </w:r>
    </w:p>
    <w:p w14:paraId="51BEBA36" w14:textId="5DC0453C" w:rsidR="00371F6F" w:rsidRDefault="00371F6F" w:rsidP="00371F6F">
      <w:pPr>
        <w:pStyle w:val="NormalWeb"/>
        <w:spacing w:line="480" w:lineRule="auto"/>
        <w:rPr>
          <w:rFonts w:ascii="Arial" w:eastAsia="Calibri" w:hAnsi="Arial"/>
          <w:color w:val="000000" w:themeColor="text1"/>
          <w:kern w:val="24"/>
          <w:sz w:val="20"/>
          <w:szCs w:val="20"/>
          <w:lang w:val="en-US"/>
        </w:rPr>
      </w:pPr>
    </w:p>
    <w:p w14:paraId="342CFF7D" w14:textId="5E186850" w:rsidR="00371F6F" w:rsidRDefault="00371F6F" w:rsidP="00371F6F">
      <w:pPr>
        <w:pStyle w:val="NormalWeb"/>
        <w:spacing w:line="480" w:lineRule="auto"/>
        <w:rPr>
          <w:rFonts w:ascii="Arial" w:eastAsia="Calibri" w:hAnsi="Arial"/>
          <w:color w:val="000000" w:themeColor="text1"/>
          <w:kern w:val="24"/>
          <w:sz w:val="20"/>
          <w:szCs w:val="20"/>
          <w:lang w:val="en-US"/>
        </w:rPr>
      </w:pPr>
    </w:p>
    <w:p w14:paraId="6966BE5F" w14:textId="25A21F46" w:rsidR="00371F6F" w:rsidRDefault="00371F6F" w:rsidP="00371F6F">
      <w:pPr>
        <w:pStyle w:val="NormalWeb"/>
        <w:spacing w:line="480" w:lineRule="auto"/>
        <w:rPr>
          <w:rFonts w:ascii="Arial" w:eastAsia="Calibri" w:hAnsi="Arial"/>
          <w:color w:val="000000" w:themeColor="text1"/>
          <w:kern w:val="24"/>
          <w:sz w:val="20"/>
          <w:szCs w:val="20"/>
          <w:lang w:val="en-US"/>
        </w:rPr>
      </w:pPr>
    </w:p>
    <w:p w14:paraId="57969553" w14:textId="46EB6346" w:rsidR="00371F6F" w:rsidRDefault="00371F6F" w:rsidP="00371F6F">
      <w:pPr>
        <w:pStyle w:val="NormalWeb"/>
        <w:spacing w:line="480" w:lineRule="auto"/>
        <w:rPr>
          <w:rFonts w:ascii="Arial" w:eastAsia="Calibri" w:hAnsi="Arial"/>
          <w:color w:val="000000" w:themeColor="text1"/>
          <w:kern w:val="24"/>
          <w:sz w:val="20"/>
          <w:szCs w:val="20"/>
          <w:lang w:val="en-US"/>
        </w:rPr>
      </w:pPr>
    </w:p>
    <w:p w14:paraId="4AF5C350" w14:textId="00DCA1C6" w:rsidR="00371F6F" w:rsidRPr="00371F6F" w:rsidRDefault="00371F6F" w:rsidP="00371F6F">
      <w:pPr>
        <w:pStyle w:val="NormalWeb"/>
        <w:spacing w:line="480" w:lineRule="auto"/>
        <w:rPr>
          <w:rFonts w:ascii="Arial" w:eastAsia="Calibri" w:hAnsi="Arial"/>
          <w:color w:val="000000" w:themeColor="text1"/>
          <w:kern w:val="24"/>
          <w:sz w:val="20"/>
          <w:szCs w:val="20"/>
          <w:lang w:val="en-US"/>
        </w:rPr>
      </w:pPr>
      <w:r w:rsidRPr="00371F6F">
        <w:rPr>
          <w:rFonts w:ascii="Arial" w:eastAsia="Calibri" w:hAnsi="Arial"/>
          <w:b/>
          <w:bCs/>
          <w:color w:val="000000" w:themeColor="text1"/>
          <w:kern w:val="24"/>
          <w:sz w:val="20"/>
          <w:szCs w:val="20"/>
          <w:lang w:val="en-US"/>
        </w:rPr>
        <w:lastRenderedPageBreak/>
        <w:t>Table 1 Supplementary Data.</w:t>
      </w:r>
      <w:r w:rsidRPr="00371F6F">
        <w:rPr>
          <w:rFonts w:ascii="Arial" w:eastAsia="Calibri" w:hAnsi="Arial"/>
          <w:color w:val="000000" w:themeColor="text1"/>
          <w:kern w:val="24"/>
          <w:sz w:val="20"/>
          <w:szCs w:val="20"/>
          <w:lang w:val="en-US"/>
        </w:rPr>
        <w:t xml:space="preserve"> Proteins contributing to the dysregulated pathways (Excel attached)</w:t>
      </w:r>
    </w:p>
    <w:bookmarkStart w:id="0" w:name="_GoBack"/>
    <w:bookmarkEnd w:id="0"/>
    <w:p w14:paraId="45E7E945" w14:textId="6C0837CB" w:rsidR="00157EFF" w:rsidRPr="00157EFF" w:rsidRDefault="00157EFF">
      <w:pPr>
        <w:rPr>
          <w:rFonts w:ascii="Arial" w:hAnsi="Arial" w:cs="Arial"/>
          <w:b/>
          <w:bCs/>
          <w:sz w:val="20"/>
          <w:szCs w:val="20"/>
        </w:rPr>
      </w:pPr>
      <w:r w:rsidRPr="00157EFF">
        <w:rPr>
          <w:rFonts w:ascii="Arial" w:hAnsi="Arial" w:cs="Arial"/>
          <w:b/>
          <w:bCs/>
          <w:noProof/>
          <w:sz w:val="20"/>
          <w:szCs w:val="20"/>
        </w:rPr>
        <mc:AlternateContent>
          <mc:Choice Requires="wps">
            <w:drawing>
              <wp:anchor distT="0" distB="0" distL="114300" distR="114300" simplePos="0" relativeHeight="251659264" behindDoc="0" locked="0" layoutInCell="1" allowOverlap="1" wp14:anchorId="23A18B8B" wp14:editId="3CA3DF26">
                <wp:simplePos x="0" y="0"/>
                <wp:positionH relativeFrom="margin">
                  <wp:align>left</wp:align>
                </wp:positionH>
                <wp:positionV relativeFrom="paragraph">
                  <wp:posOffset>0</wp:posOffset>
                </wp:positionV>
                <wp:extent cx="5543121" cy="553998"/>
                <wp:effectExtent l="0" t="0" r="0" b="0"/>
                <wp:wrapNone/>
                <wp:docPr id="3" name="Rectangle 1">
                  <a:extLst xmlns:a="http://schemas.openxmlformats.org/drawingml/2006/main">
                    <a:ext uri="{FF2B5EF4-FFF2-40B4-BE49-F238E27FC236}">
                      <a16:creationId xmlns:a16="http://schemas.microsoft.com/office/drawing/2014/main" id="{4E8EFB20-F59F-4C70-A488-D6DFB85D8026}"/>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43121" cy="553998"/>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wps:spPr>
                      <wps:txbx>
                        <w:txbxContent>
                          <w:p w14:paraId="161DD353" w14:textId="58BCCD96" w:rsidR="00157EFF" w:rsidRPr="00157EFF" w:rsidRDefault="00157EFF" w:rsidP="00157EFF">
                            <w:pPr>
                              <w:kinsoku w:val="0"/>
                              <w:overflowPunct w:val="0"/>
                              <w:textAlignment w:val="baseline"/>
                              <w:rPr>
                                <w:rFonts w:ascii="Arial" w:eastAsia="Calibri" w:hAnsi="Arial" w:cs="Arial"/>
                                <w:b/>
                                <w:bCs/>
                                <w:color w:val="000000" w:themeColor="text1"/>
                                <w:kern w:val="24"/>
                                <w:sz w:val="20"/>
                                <w:szCs w:val="20"/>
                                <w:lang w:val="en-US"/>
                              </w:rPr>
                            </w:pPr>
                          </w:p>
                        </w:txbxContent>
                      </wps:txbx>
                      <wps:bodyPr vert="horz" wrap="none" lIns="91440" tIns="45720" rIns="91440" bIns="45720" numCol="1" anchor="ctr" anchorCtr="0" compatLnSpc="1">
                        <a:prstTxWarp prst="textNoShape">
                          <a:avLst/>
                        </a:prstTxWarp>
                        <a:spAutoFit/>
                      </wps:bodyPr>
                    </wps:wsp>
                  </a:graphicData>
                </a:graphic>
              </wp:anchor>
            </w:drawing>
          </mc:Choice>
          <mc:Fallback xmlns:w16sdtdh="http://schemas.microsoft.com/office/word/2020/wordml/sdtdatahash" xmlns:w16="http://schemas.microsoft.com/office/word/2018/wordml" xmlns:w16cex="http://schemas.microsoft.com/office/word/2018/wordml/cex">
            <w:pict>
              <v:rect w14:anchorId="23A18B8B" id="Rectangle 1" o:spid="_x0000_s1026" style="position:absolute;margin-left:0;margin-top:0;width:436.45pt;height:43.6pt;z-index:251659264;visibility:visible;mso-wrap-style:none;mso-wrap-distance-left:9pt;mso-wrap-distance-top:0;mso-wrap-distance-right:9pt;mso-wrap-distance-bottom:0;mso-position-horizontal:left;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" filled="f" fillcolor="#4472c4 [3204]" stroked="f" strokecolor="black [3213]">
                <v:shadow color="#e7e6e6 [3214]"/>
                <v:textbox style="mso-fit-shape-to-text:t">
                  <w:txbxContent>
                    <w:p w14:paraId="161DD353" w14:textId="58BCCD96" w:rsidR="00157EFF" w:rsidRPr="00157EFF" w:rsidRDefault="00157EFF" w:rsidP="00157EFF">
                      <w:pPr>
                        <w:kinsoku w:val="0"/>
                        <w:overflowPunct w:val="0"/>
                        <w:textAlignment w:val="baseline"/>
                        <w:rPr>
                          <w:rFonts w:ascii="Arial" w:eastAsia="Calibri" w:hAnsi="Arial" w:cs="Arial"/>
                          <w:b/>
                          <w:bCs/>
                          <w:color w:val="000000" w:themeColor="text1"/>
                          <w:kern w:val="24"/>
                          <w:sz w:val="20"/>
                          <w:szCs w:val="20"/>
                          <w:lang w:val="en-US"/>
                        </w:rPr>
                      </w:pPr>
                    </w:p>
                  </w:txbxContent>
                </v:textbox>
                <w10:wrap anchorx="margin"/>
              </v:rect>
            </w:pict>
          </mc:Fallback>
        </mc:AlternateContent>
      </w:r>
    </w:p>
    <w:sectPr w:rsidR="00157EFF" w:rsidRPr="00157EF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7EFF"/>
    <w:rsid w:val="000F7ACD"/>
    <w:rsid w:val="00157EFF"/>
    <w:rsid w:val="00371F6F"/>
    <w:rsid w:val="008015DD"/>
    <w:rsid w:val="00923E03"/>
    <w:rsid w:val="00C24D2D"/>
    <w:rsid w:val="00DE56F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D29C25"/>
  <w15:chartTrackingRefBased/>
  <w15:docId w15:val="{177EB0F6-A9C0-4319-B1B6-DBA169A9C2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157EFF"/>
    <w:pPr>
      <w:spacing w:before="100" w:beforeAutospacing="1" w:after="100" w:afterAutospacing="1" w:line="240" w:lineRule="auto"/>
    </w:pPr>
    <w:rPr>
      <w:rFonts w:ascii="Times New Roman" w:eastAsia="Times New Roman" w:hAnsi="Times New Roman" w:cs="Times New Roman"/>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3834649">
      <w:bodyDiv w:val="1"/>
      <w:marLeft w:val="0"/>
      <w:marRight w:val="0"/>
      <w:marTop w:val="0"/>
      <w:marBottom w:val="0"/>
      <w:divBdr>
        <w:top w:val="none" w:sz="0" w:space="0" w:color="auto"/>
        <w:left w:val="none" w:sz="0" w:space="0" w:color="auto"/>
        <w:bottom w:val="none" w:sz="0" w:space="0" w:color="auto"/>
        <w:right w:val="none" w:sz="0" w:space="0" w:color="auto"/>
      </w:divBdr>
    </w:div>
    <w:div w:id="357316649">
      <w:bodyDiv w:val="1"/>
      <w:marLeft w:val="0"/>
      <w:marRight w:val="0"/>
      <w:marTop w:val="0"/>
      <w:marBottom w:val="0"/>
      <w:divBdr>
        <w:top w:val="none" w:sz="0" w:space="0" w:color="auto"/>
        <w:left w:val="none" w:sz="0" w:space="0" w:color="auto"/>
        <w:bottom w:val="none" w:sz="0" w:space="0" w:color="auto"/>
        <w:right w:val="none" w:sz="0" w:space="0" w:color="auto"/>
      </w:divBdr>
    </w:div>
    <w:div w:id="940798810">
      <w:bodyDiv w:val="1"/>
      <w:marLeft w:val="0"/>
      <w:marRight w:val="0"/>
      <w:marTop w:val="0"/>
      <w:marBottom w:val="0"/>
      <w:divBdr>
        <w:top w:val="none" w:sz="0" w:space="0" w:color="auto"/>
        <w:left w:val="none" w:sz="0" w:space="0" w:color="auto"/>
        <w:bottom w:val="none" w:sz="0" w:space="0" w:color="auto"/>
        <w:right w:val="none" w:sz="0" w:space="0" w:color="auto"/>
      </w:divBdr>
    </w:div>
    <w:div w:id="1117486431">
      <w:bodyDiv w:val="1"/>
      <w:marLeft w:val="0"/>
      <w:marRight w:val="0"/>
      <w:marTop w:val="0"/>
      <w:marBottom w:val="0"/>
      <w:divBdr>
        <w:top w:val="none" w:sz="0" w:space="0" w:color="auto"/>
        <w:left w:val="none" w:sz="0" w:space="0" w:color="auto"/>
        <w:bottom w:val="none" w:sz="0" w:space="0" w:color="auto"/>
        <w:right w:val="none" w:sz="0" w:space="0" w:color="auto"/>
      </w:divBdr>
    </w:div>
    <w:div w:id="1230070069">
      <w:bodyDiv w:val="1"/>
      <w:marLeft w:val="0"/>
      <w:marRight w:val="0"/>
      <w:marTop w:val="0"/>
      <w:marBottom w:val="0"/>
      <w:divBdr>
        <w:top w:val="none" w:sz="0" w:space="0" w:color="auto"/>
        <w:left w:val="none" w:sz="0" w:space="0" w:color="auto"/>
        <w:bottom w:val="none" w:sz="0" w:space="0" w:color="auto"/>
        <w:right w:val="none" w:sz="0" w:space="0" w:color="auto"/>
      </w:divBdr>
    </w:div>
    <w:div w:id="1286621254">
      <w:bodyDiv w:val="1"/>
      <w:marLeft w:val="0"/>
      <w:marRight w:val="0"/>
      <w:marTop w:val="0"/>
      <w:marBottom w:val="0"/>
      <w:divBdr>
        <w:top w:val="none" w:sz="0" w:space="0" w:color="auto"/>
        <w:left w:val="none" w:sz="0" w:space="0" w:color="auto"/>
        <w:bottom w:val="none" w:sz="0" w:space="0" w:color="auto"/>
        <w:right w:val="none" w:sz="0" w:space="0" w:color="auto"/>
      </w:divBdr>
    </w:div>
    <w:div w:id="1668287052">
      <w:bodyDiv w:val="1"/>
      <w:marLeft w:val="0"/>
      <w:marRight w:val="0"/>
      <w:marTop w:val="0"/>
      <w:marBottom w:val="0"/>
      <w:divBdr>
        <w:top w:val="none" w:sz="0" w:space="0" w:color="auto"/>
        <w:left w:val="none" w:sz="0" w:space="0" w:color="auto"/>
        <w:bottom w:val="none" w:sz="0" w:space="0" w:color="auto"/>
        <w:right w:val="none" w:sz="0" w:space="0" w:color="auto"/>
      </w:divBdr>
    </w:div>
    <w:div w:id="17311465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153BDF-CD13-4223-AA8C-96D33FC2D3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9</Pages>
  <Words>2913</Words>
  <Characters>16023</Characters>
  <Application>Microsoft Office Word</Application>
  <DocSecurity>0</DocSecurity>
  <Lines>133</Lines>
  <Paragraphs>37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18899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Blanca</dc:creator>
  <cp:keywords/>
  <dc:description/>
  <cp:lastModifiedBy>BURTEY Stephane</cp:lastModifiedBy>
  <cp:revision>3</cp:revision>
  <dcterms:created xsi:type="dcterms:W3CDTF">2024-07-16T10:33:00Z</dcterms:created>
  <dcterms:modified xsi:type="dcterms:W3CDTF">2024-07-16T12:37:00Z</dcterms:modified>
</cp:coreProperties>
</file>