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0A8280">
      <w:pPr>
        <w:pStyle w:val="2"/>
        <w:bidi w:val="0"/>
        <w:jc w:val="center"/>
        <w:rPr>
          <w:rFonts w:hint="default" w:ascii="Arial" w:hAnsi="Arial" w:cs="Arial"/>
          <w:sz w:val="36"/>
          <w:szCs w:val="48"/>
        </w:rPr>
      </w:pPr>
      <w:bookmarkStart w:id="0" w:name="OLE_LINK1"/>
      <w:r>
        <w:rPr>
          <w:rFonts w:hint="default" w:ascii="Arial" w:hAnsi="Arial" w:cs="Arial"/>
          <w:sz w:val="36"/>
          <w:szCs w:val="48"/>
        </w:rPr>
        <w:t>Teaching Plan</w:t>
      </w:r>
      <w:r>
        <w:rPr>
          <w:rFonts w:hint="default" w:ascii="Arial" w:hAnsi="Arial" w:cs="Arial"/>
          <w:sz w:val="36"/>
          <w:szCs w:val="48"/>
          <w:lang w:val="en-US" w:eastAsia="zh-CN"/>
        </w:rPr>
        <w:t xml:space="preserve">: </w:t>
      </w:r>
      <w:r>
        <w:rPr>
          <w:rFonts w:hint="default" w:ascii="Arial" w:hAnsi="Arial" w:cs="Arial"/>
          <w:sz w:val="36"/>
          <w:szCs w:val="48"/>
        </w:rPr>
        <w:t>how to coping with uncertainty</w:t>
      </w:r>
    </w:p>
    <w:bookmarkEnd w:id="0"/>
    <w:p w14:paraId="0F267A61">
      <w:pPr>
        <w:pStyle w:val="2"/>
        <w:widowControl/>
        <w:jc w:val="left"/>
        <w:rPr>
          <w:rFonts w:hint="default" w:ascii="Arial" w:hAnsi="Arial" w:cs="Arial"/>
        </w:rPr>
      </w:pPr>
      <w:r>
        <w:rPr>
          <w:rFonts w:hint="default" w:ascii="Arial" w:hAnsi="Arial" w:cs="Arial"/>
        </w:rPr>
        <w:t>Course Introduction</w:t>
      </w:r>
    </w:p>
    <w:p w14:paraId="6ACC8ABE">
      <w:pPr>
        <w:pStyle w:val="6"/>
        <w:widowControl/>
        <w:ind w:left="0" w:leftChars="0" w:firstLine="0" w:firstLineChars="0"/>
        <w:rPr>
          <w:rFonts w:hint="default" w:ascii="Arial" w:hAnsi="Arial" w:cs="Arial"/>
        </w:rPr>
      </w:pPr>
      <w:r>
        <w:rPr>
          <w:rFonts w:hint="default" w:ascii="Arial" w:hAnsi="Arial" w:cs="Arial"/>
        </w:rPr>
        <w:t>Understanding and managing medical uncertainty is crucial for post-graduate General Practitioners (GPs). This teaching plan aims to equip resident doctors with the skills to identify, cope with, and communicate uncertainty. The course combines theoretical knowledge and practical application to create a supportive learning environment.</w:t>
      </w:r>
    </w:p>
    <w:p w14:paraId="2C365F39">
      <w:pPr>
        <w:pStyle w:val="2"/>
        <w:widowControl/>
        <w:rPr>
          <w:rFonts w:hint="default" w:ascii="Arial" w:hAnsi="Arial" w:cs="Arial"/>
        </w:rPr>
      </w:pPr>
      <w:r>
        <w:rPr>
          <w:rFonts w:hint="default" w:ascii="Arial" w:hAnsi="Arial" w:cs="Arial"/>
        </w:rPr>
        <w:t>Course Objectives</w:t>
      </w:r>
    </w:p>
    <w:p w14:paraId="0474266C">
      <w:pPr>
        <w:pStyle w:val="6"/>
        <w:widowControl/>
        <w:numPr>
          <w:ilvl w:val="0"/>
          <w:numId w:val="1"/>
        </w:numPr>
        <w:ind w:left="780" w:leftChars="0" w:hanging="360" w:firstLineChars="0"/>
        <w:rPr>
          <w:rFonts w:hint="default" w:ascii="Arial" w:hAnsi="Arial" w:cs="Arial"/>
        </w:rPr>
      </w:pPr>
      <w:r>
        <w:rPr>
          <w:rStyle w:val="10"/>
          <w:rFonts w:hint="default" w:ascii="Arial" w:hAnsi="Arial" w:cs="Arial"/>
        </w:rPr>
        <w:t>Define Medical Uncertainty:</w:t>
      </w:r>
      <w:r>
        <w:rPr>
          <w:rFonts w:hint="default" w:ascii="Arial" w:hAnsi="Arial" w:cs="Arial"/>
        </w:rPr>
        <w:t xml:space="preserve"> Understand the various sources and dimensions of medical uncertainty.</w:t>
      </w:r>
    </w:p>
    <w:p w14:paraId="3A233762">
      <w:pPr>
        <w:pStyle w:val="6"/>
        <w:widowControl/>
        <w:numPr>
          <w:ilvl w:val="0"/>
          <w:numId w:val="1"/>
        </w:numPr>
        <w:ind w:left="780" w:leftChars="0" w:hanging="360" w:firstLineChars="0"/>
        <w:rPr>
          <w:rFonts w:hint="default" w:ascii="Arial" w:hAnsi="Arial" w:cs="Arial"/>
        </w:rPr>
      </w:pPr>
      <w:r>
        <w:rPr>
          <w:rStyle w:val="10"/>
          <w:rFonts w:hint="default" w:ascii="Arial" w:hAnsi="Arial" w:cs="Arial"/>
        </w:rPr>
        <w:t>Identify Uncertainty:</w:t>
      </w:r>
      <w:r>
        <w:rPr>
          <w:rFonts w:hint="default" w:ascii="Arial" w:hAnsi="Arial" w:cs="Arial"/>
        </w:rPr>
        <w:t xml:space="preserve"> Recognize situations of uncertainty in clinical practice.</w:t>
      </w:r>
    </w:p>
    <w:p w14:paraId="2C31FA8F">
      <w:pPr>
        <w:pStyle w:val="6"/>
        <w:widowControl/>
        <w:numPr>
          <w:ilvl w:val="0"/>
          <w:numId w:val="1"/>
        </w:numPr>
        <w:ind w:left="780" w:leftChars="0" w:hanging="360" w:firstLineChars="0"/>
        <w:rPr>
          <w:rFonts w:hint="default" w:ascii="Arial" w:hAnsi="Arial" w:cs="Arial"/>
        </w:rPr>
      </w:pPr>
      <w:r>
        <w:rPr>
          <w:rStyle w:val="10"/>
          <w:rFonts w:hint="default" w:ascii="Arial" w:hAnsi="Arial" w:cs="Arial"/>
        </w:rPr>
        <w:t>Manage Responses:</w:t>
      </w:r>
      <w:r>
        <w:rPr>
          <w:rFonts w:hint="default" w:ascii="Arial" w:hAnsi="Arial" w:cs="Arial"/>
        </w:rPr>
        <w:t xml:space="preserve"> Develop cognitive, emotional, and behavioral strategies to cope with uncertainty.</w:t>
      </w:r>
    </w:p>
    <w:p w14:paraId="59D5F11E">
      <w:pPr>
        <w:pStyle w:val="6"/>
        <w:widowControl/>
        <w:numPr>
          <w:ilvl w:val="0"/>
          <w:numId w:val="1"/>
        </w:numPr>
        <w:ind w:left="780" w:leftChars="0" w:hanging="360" w:firstLineChars="0"/>
        <w:rPr>
          <w:rFonts w:hint="default" w:ascii="Arial" w:hAnsi="Arial" w:cs="Arial"/>
        </w:rPr>
      </w:pPr>
      <w:r>
        <w:rPr>
          <w:rStyle w:val="10"/>
          <w:rFonts w:hint="default" w:ascii="Arial" w:hAnsi="Arial" w:cs="Arial"/>
        </w:rPr>
        <w:t>Communicate Uncertainty:</w:t>
      </w:r>
      <w:r>
        <w:rPr>
          <w:rFonts w:hint="default" w:ascii="Arial" w:hAnsi="Arial" w:cs="Arial"/>
        </w:rPr>
        <w:t xml:space="preserve"> Learn effective communication techniques to discuss uncertainty with patients and colleagues.</w:t>
      </w:r>
    </w:p>
    <w:p w14:paraId="0E7E74CD">
      <w:pPr>
        <w:pStyle w:val="2"/>
        <w:widowControl/>
        <w:rPr>
          <w:rFonts w:hint="default" w:ascii="Arial" w:hAnsi="Arial" w:cs="Arial"/>
        </w:rPr>
      </w:pPr>
      <w:r>
        <w:rPr>
          <w:rFonts w:hint="default" w:ascii="Arial" w:hAnsi="Arial" w:cs="Arial"/>
        </w:rPr>
        <w:t>Target Audience</w:t>
      </w:r>
    </w:p>
    <w:p w14:paraId="2E9B1BA8">
      <w:pPr>
        <w:pStyle w:val="6"/>
        <w:widowControl/>
        <w:numPr>
          <w:ilvl w:val="0"/>
          <w:numId w:val="2"/>
        </w:numPr>
        <w:ind w:left="780" w:leftChars="0" w:hanging="360" w:firstLineChars="0"/>
        <w:rPr>
          <w:rFonts w:hint="default" w:ascii="Arial" w:hAnsi="Arial" w:cs="Arial"/>
        </w:rPr>
      </w:pPr>
      <w:r>
        <w:rPr>
          <w:rFonts w:hint="default" w:ascii="Arial" w:hAnsi="Arial" w:cs="Arial"/>
        </w:rPr>
        <w:t>Resident doctors, intern doctors, and other healthcare professionals</w:t>
      </w:r>
    </w:p>
    <w:p w14:paraId="6B35E461">
      <w:pPr>
        <w:pStyle w:val="2"/>
        <w:widowControl/>
        <w:rPr>
          <w:rFonts w:hint="default" w:ascii="Arial" w:hAnsi="Arial" w:cs="Arial"/>
        </w:rPr>
      </w:pPr>
      <w:r>
        <w:rPr>
          <w:rFonts w:hint="default" w:ascii="Arial" w:hAnsi="Arial" w:cs="Arial"/>
        </w:rPr>
        <w:t>Duration</w:t>
      </w:r>
    </w:p>
    <w:p w14:paraId="430D800F">
      <w:pPr>
        <w:pStyle w:val="6"/>
        <w:widowControl/>
        <w:numPr>
          <w:ilvl w:val="0"/>
          <w:numId w:val="2"/>
        </w:numPr>
        <w:ind w:left="780" w:leftChars="0" w:hanging="360" w:firstLineChars="0"/>
        <w:rPr>
          <w:rFonts w:hint="default" w:ascii="Arial" w:hAnsi="Arial" w:cs="Arial"/>
          <w:lang w:val="en-US" w:eastAsia="zh-CN"/>
        </w:rPr>
      </w:pPr>
      <w:r>
        <w:rPr>
          <w:rFonts w:hint="eastAsia" w:ascii="Arial" w:hAnsi="Arial" w:cs="Arial"/>
          <w:lang w:val="en-US" w:eastAsia="zh-CN"/>
        </w:rPr>
        <w:t>45min x 5 courses</w:t>
      </w:r>
    </w:p>
    <w:p w14:paraId="09FB9DC4">
      <w:pPr>
        <w:pStyle w:val="2"/>
        <w:widowControl/>
        <w:rPr>
          <w:rFonts w:hint="default" w:ascii="Arial" w:hAnsi="Arial" w:cs="Arial"/>
        </w:rPr>
      </w:pPr>
      <w:r>
        <w:rPr>
          <w:rFonts w:hint="default" w:ascii="Arial" w:hAnsi="Arial" w:cs="Arial"/>
        </w:rPr>
        <w:t>Teaching Methods</w:t>
      </w:r>
    </w:p>
    <w:p w14:paraId="32981C02">
      <w:pPr>
        <w:pStyle w:val="6"/>
        <w:widowControl/>
        <w:numPr>
          <w:ilvl w:val="0"/>
          <w:numId w:val="2"/>
        </w:numPr>
        <w:ind w:left="780" w:leftChars="0" w:hanging="360" w:firstLineChars="0"/>
        <w:rPr>
          <w:rFonts w:hint="default" w:ascii="Arial" w:hAnsi="Arial" w:cs="Arial"/>
        </w:rPr>
      </w:pPr>
      <w:r>
        <w:rPr>
          <w:rFonts w:hint="default" w:ascii="Arial" w:hAnsi="Arial" w:cs="Arial"/>
        </w:rPr>
        <w:t>Lectures, case analysis, group discussions, role-playing, and practical exercises</w:t>
      </w:r>
    </w:p>
    <w:p w14:paraId="755AAF70">
      <w:pPr>
        <w:keepNext w:val="0"/>
        <w:keepLines w:val="0"/>
        <w:widowControl/>
        <w:suppressLineNumbers w:val="0"/>
        <w:spacing w:line="360" w:lineRule="auto"/>
        <w:rPr>
          <w:rFonts w:hint="default" w:ascii="Arial" w:hAnsi="Arial" w:cs="Arial"/>
        </w:rPr>
      </w:pPr>
      <w:r>
        <w:rPr>
          <w:rFonts w:hint="default" w:ascii="Arial" w:hAnsi="Arial" w:cs="Arial"/>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5610383E">
      <w:pPr>
        <w:pStyle w:val="2"/>
        <w:widowControl/>
        <w:rPr>
          <w:rFonts w:hint="default" w:ascii="Arial" w:hAnsi="Arial" w:cs="Arial"/>
        </w:rPr>
      </w:pPr>
      <w:r>
        <w:rPr>
          <w:rFonts w:hint="default" w:ascii="Arial" w:hAnsi="Arial" w:cs="Arial"/>
        </w:rPr>
        <w:t>Course Content</w:t>
      </w:r>
    </w:p>
    <w:p w14:paraId="0728A909">
      <w:pPr>
        <w:pStyle w:val="3"/>
        <w:widowControl/>
        <w:rPr>
          <w:rFonts w:hint="default" w:ascii="Arial" w:hAnsi="Arial" w:cs="Arial"/>
        </w:rPr>
      </w:pPr>
      <w:r>
        <w:rPr>
          <w:rFonts w:hint="default" w:ascii="Arial" w:hAnsi="Arial" w:cs="Arial"/>
        </w:rPr>
        <w:t>I. Introduction to Medical Uncertainty (</w:t>
      </w:r>
      <w:r>
        <w:rPr>
          <w:rFonts w:hint="eastAsia" w:ascii="Arial" w:hAnsi="Arial" w:cs="Arial"/>
          <w:lang w:val="en-US" w:eastAsia="zh-CN"/>
        </w:rPr>
        <w:t>45</w:t>
      </w:r>
      <w:r>
        <w:rPr>
          <w:rFonts w:hint="default" w:ascii="Arial" w:hAnsi="Arial" w:cs="Arial"/>
        </w:rPr>
        <w:t xml:space="preserve"> minutes)</w:t>
      </w:r>
    </w:p>
    <w:p w14:paraId="2EAC4365">
      <w:pPr>
        <w:pStyle w:val="4"/>
        <w:widowControl/>
        <w:rPr>
          <w:rFonts w:hint="default" w:ascii="Arial" w:hAnsi="Arial" w:cs="Arial"/>
        </w:rPr>
      </w:pPr>
      <w:r>
        <w:rPr>
          <w:rFonts w:hint="default" w:ascii="Arial" w:hAnsi="Arial" w:cs="Arial"/>
        </w:rPr>
        <w:t>1. Definition and Dimensions (15 minutes)</w:t>
      </w:r>
    </w:p>
    <w:p w14:paraId="741CCFA1">
      <w:pPr>
        <w:pStyle w:val="6"/>
        <w:widowControl/>
        <w:numPr>
          <w:ilvl w:val="0"/>
          <w:numId w:val="2"/>
        </w:numPr>
        <w:ind w:left="780" w:leftChars="0" w:hanging="360" w:firstLineChars="0"/>
        <w:rPr>
          <w:rFonts w:hint="default" w:ascii="Arial" w:hAnsi="Arial" w:cs="Arial"/>
        </w:rPr>
      </w:pPr>
      <w:r>
        <w:rPr>
          <w:rFonts w:hint="default" w:ascii="Arial" w:hAnsi="Arial" w:cs="Arial"/>
          <w:b/>
          <w:bCs/>
        </w:rPr>
        <w:t>Sources of Uncertainty:</w:t>
      </w:r>
      <w:r>
        <w:rPr>
          <w:rFonts w:hint="default" w:ascii="Arial" w:hAnsi="Arial" w:cs="Arial"/>
        </w:rPr>
        <w:t xml:space="preserve"> Knowledge gaps, ambiguous information, complex systems</w:t>
      </w:r>
      <w:r>
        <w:rPr>
          <w:rFonts w:hint="default" w:ascii="Arial" w:hAnsi="Arial" w:cs="Arial"/>
          <w:lang w:val="en-US" w:eastAsia="zh-CN"/>
        </w:rPr>
        <w:t>.</w:t>
      </w:r>
    </w:p>
    <w:p w14:paraId="6EE24F83">
      <w:pPr>
        <w:pStyle w:val="6"/>
        <w:widowControl/>
        <w:numPr>
          <w:ilvl w:val="0"/>
          <w:numId w:val="2"/>
        </w:numPr>
        <w:ind w:left="780" w:leftChars="0" w:hanging="360" w:firstLineChars="0"/>
        <w:rPr>
          <w:rFonts w:hint="default" w:ascii="Arial" w:hAnsi="Arial" w:cs="Arial"/>
        </w:rPr>
      </w:pPr>
      <w:r>
        <w:rPr>
          <w:rFonts w:hint="default" w:ascii="Arial" w:hAnsi="Arial" w:cs="Arial"/>
          <w:b/>
          <w:bCs/>
        </w:rPr>
        <w:t xml:space="preserve">Subjectivity: </w:t>
      </w:r>
      <w:r>
        <w:rPr>
          <w:rFonts w:hint="default" w:ascii="Arial" w:hAnsi="Arial" w:cs="Arial"/>
        </w:rPr>
        <w:t>Personal perceptions and experiences</w:t>
      </w:r>
      <w:r>
        <w:rPr>
          <w:rFonts w:hint="default" w:ascii="Arial" w:hAnsi="Arial" w:cs="Arial"/>
          <w:lang w:val="en-US" w:eastAsia="zh-CN"/>
        </w:rPr>
        <w:t>.</w:t>
      </w:r>
    </w:p>
    <w:p w14:paraId="22BE7DDB">
      <w:pPr>
        <w:pStyle w:val="6"/>
        <w:widowControl/>
        <w:numPr>
          <w:ilvl w:val="0"/>
          <w:numId w:val="2"/>
        </w:numPr>
        <w:ind w:left="780" w:leftChars="0" w:hanging="360" w:firstLineChars="0"/>
        <w:rPr>
          <w:rFonts w:hint="default" w:ascii="Arial" w:hAnsi="Arial" w:cs="Arial"/>
        </w:rPr>
      </w:pPr>
      <w:r>
        <w:rPr>
          <w:rFonts w:hint="default" w:ascii="Arial" w:hAnsi="Arial" w:cs="Arial"/>
          <w:b/>
          <w:bCs/>
        </w:rPr>
        <w:t xml:space="preserve">Responses to Uncertainty: </w:t>
      </w:r>
      <w:r>
        <w:rPr>
          <w:rFonts w:hint="default" w:ascii="Arial" w:hAnsi="Arial" w:cs="Arial"/>
        </w:rPr>
        <w:t>Cognitive, emotional, and behavioral reactions</w:t>
      </w:r>
      <w:r>
        <w:rPr>
          <w:rFonts w:hint="default" w:ascii="Arial" w:hAnsi="Arial" w:cs="Arial"/>
          <w:lang w:val="en-US" w:eastAsia="zh-CN"/>
        </w:rPr>
        <w:t>.</w:t>
      </w:r>
    </w:p>
    <w:p w14:paraId="6B0FDB46">
      <w:pPr>
        <w:pStyle w:val="4"/>
        <w:widowControl/>
        <w:rPr>
          <w:rFonts w:hint="default" w:ascii="Arial" w:hAnsi="Arial" w:cs="Arial"/>
        </w:rPr>
      </w:pPr>
      <w:r>
        <w:rPr>
          <w:rFonts w:hint="default" w:ascii="Arial" w:hAnsi="Arial" w:cs="Arial"/>
        </w:rPr>
        <w:t>2. Interactive Q&amp;A (15 minutes)</w:t>
      </w:r>
    </w:p>
    <w:p w14:paraId="3AF9C07D">
      <w:pPr>
        <w:pStyle w:val="6"/>
        <w:widowControl/>
        <w:numPr>
          <w:ilvl w:val="0"/>
          <w:numId w:val="2"/>
        </w:numPr>
        <w:ind w:left="780" w:leftChars="0" w:hanging="360" w:firstLineChars="0"/>
        <w:rPr>
          <w:rFonts w:hint="default" w:ascii="Arial" w:hAnsi="Arial" w:cs="Arial"/>
        </w:rPr>
      </w:pPr>
      <w:r>
        <w:rPr>
          <w:rFonts w:hint="default" w:ascii="Arial" w:hAnsi="Arial" w:cs="Arial"/>
          <w:b/>
          <w:bCs/>
        </w:rPr>
        <w:t xml:space="preserve">Question: </w:t>
      </w:r>
      <w:r>
        <w:rPr>
          <w:rFonts w:hint="default" w:ascii="Arial" w:hAnsi="Arial" w:cs="Arial"/>
        </w:rPr>
        <w:t>Have participants encountered uncertainty in their practice? How did they handle it?</w:t>
      </w:r>
    </w:p>
    <w:p w14:paraId="4F729DD9">
      <w:pPr>
        <w:pStyle w:val="6"/>
        <w:widowControl/>
        <w:numPr>
          <w:ilvl w:val="0"/>
          <w:numId w:val="2"/>
        </w:numPr>
        <w:ind w:left="780" w:leftChars="0" w:hanging="360" w:firstLineChars="0"/>
        <w:rPr>
          <w:rFonts w:hint="default" w:ascii="Arial" w:hAnsi="Arial" w:cs="Arial"/>
        </w:rPr>
      </w:pPr>
      <w:r>
        <w:rPr>
          <w:rFonts w:hint="default" w:ascii="Arial" w:hAnsi="Arial" w:cs="Arial"/>
          <w:b/>
          <w:bCs/>
        </w:rPr>
        <w:t xml:space="preserve">Discussion: </w:t>
      </w:r>
      <w:r>
        <w:rPr>
          <w:rFonts w:hint="default" w:ascii="Arial" w:hAnsi="Arial" w:cs="Arial"/>
        </w:rPr>
        <w:t>Share experiences and understand different coping strategies.</w:t>
      </w:r>
    </w:p>
    <w:p w14:paraId="0F819304">
      <w:pPr>
        <w:pStyle w:val="3"/>
        <w:widowControl/>
        <w:rPr>
          <w:rFonts w:hint="default" w:ascii="Arial" w:hAnsi="Arial" w:cs="Arial"/>
        </w:rPr>
      </w:pPr>
      <w:r>
        <w:rPr>
          <w:rFonts w:hint="default" w:ascii="Arial" w:hAnsi="Arial" w:cs="Arial"/>
        </w:rPr>
        <w:t>II. Identifying and Recognizing Uncertainty (45 minutes)</w:t>
      </w:r>
    </w:p>
    <w:p w14:paraId="2117AD12">
      <w:pPr>
        <w:pStyle w:val="4"/>
        <w:widowControl/>
        <w:rPr>
          <w:rFonts w:hint="default" w:ascii="Arial" w:hAnsi="Arial" w:cs="Arial"/>
        </w:rPr>
      </w:pPr>
      <w:r>
        <w:rPr>
          <w:rFonts w:hint="default" w:ascii="Arial" w:hAnsi="Arial" w:cs="Arial"/>
        </w:rPr>
        <w:t>1. Case Studies (25 minutes)</w:t>
      </w:r>
    </w:p>
    <w:p w14:paraId="1C997D74">
      <w:pPr>
        <w:pStyle w:val="6"/>
        <w:widowControl/>
        <w:numPr>
          <w:ilvl w:val="0"/>
          <w:numId w:val="2"/>
        </w:numPr>
        <w:ind w:left="780" w:leftChars="0" w:hanging="360" w:firstLineChars="0"/>
        <w:rPr>
          <w:rFonts w:hint="default" w:ascii="Arial" w:hAnsi="Arial" w:cs="Arial"/>
        </w:rPr>
      </w:pPr>
      <w:r>
        <w:rPr>
          <w:rFonts w:hint="default" w:ascii="Arial" w:hAnsi="Arial" w:cs="Arial"/>
          <w:b/>
          <w:bCs/>
        </w:rPr>
        <w:t>Case 1:</w:t>
      </w:r>
      <w:r>
        <w:rPr>
          <w:rFonts w:hint="default" w:ascii="Arial" w:hAnsi="Arial" w:cs="Arial"/>
        </w:rPr>
        <w:t xml:space="preserve"> 50-year-old male with chest pain and no significant initial findings.</w:t>
      </w:r>
      <w:r>
        <w:rPr>
          <w:rFonts w:hint="default" w:ascii="Arial" w:hAnsi="Arial" w:cs="Arial"/>
          <w:lang w:val="en-US" w:eastAsia="zh-CN"/>
        </w:rPr>
        <w:t xml:space="preserve"> </w:t>
      </w:r>
      <w:r>
        <w:rPr>
          <w:rFonts w:hint="default" w:ascii="Arial" w:hAnsi="Arial" w:cs="Arial"/>
        </w:rPr>
        <w:t>Analysis: Discuss diagnostic possibilities and use of decision support tools.</w:t>
      </w:r>
    </w:p>
    <w:p w14:paraId="05839076">
      <w:pPr>
        <w:pStyle w:val="6"/>
        <w:widowControl/>
        <w:numPr>
          <w:ilvl w:val="0"/>
          <w:numId w:val="2"/>
        </w:numPr>
        <w:ind w:left="780" w:leftChars="0" w:hanging="360" w:firstLineChars="0"/>
        <w:rPr>
          <w:rFonts w:hint="default" w:ascii="Arial" w:hAnsi="Arial" w:cs="Arial"/>
        </w:rPr>
      </w:pPr>
      <w:r>
        <w:rPr>
          <w:rFonts w:hint="default" w:ascii="Arial" w:hAnsi="Arial" w:cs="Arial"/>
          <w:b/>
          <w:bCs/>
        </w:rPr>
        <w:t xml:space="preserve">Case 2: </w:t>
      </w:r>
      <w:r>
        <w:rPr>
          <w:rFonts w:hint="default" w:ascii="Arial" w:hAnsi="Arial" w:cs="Arial"/>
        </w:rPr>
        <w:t>35-year-old female with persistent headache and normal MRI.</w:t>
      </w:r>
      <w:r>
        <w:rPr>
          <w:rFonts w:hint="default" w:ascii="Arial" w:hAnsi="Arial" w:cs="Arial"/>
          <w:lang w:val="en-US" w:eastAsia="zh-CN"/>
        </w:rPr>
        <w:t xml:space="preserve"> </w:t>
      </w:r>
      <w:r>
        <w:rPr>
          <w:rFonts w:hint="default" w:ascii="Arial" w:hAnsi="Arial" w:cs="Arial"/>
        </w:rPr>
        <w:t>Discussion: Explore alternative diagnoses and further management based on guidelines.</w:t>
      </w:r>
    </w:p>
    <w:p w14:paraId="38E1A989">
      <w:pPr>
        <w:pStyle w:val="4"/>
        <w:widowControl/>
        <w:rPr>
          <w:rFonts w:hint="default" w:ascii="Arial" w:hAnsi="Arial" w:cs="Arial"/>
        </w:rPr>
      </w:pPr>
      <w:r>
        <w:rPr>
          <w:rFonts w:hint="default" w:ascii="Arial" w:hAnsi="Arial" w:cs="Arial"/>
        </w:rPr>
        <w:t>2. Reflection (20 minutes)</w:t>
      </w:r>
    </w:p>
    <w:p w14:paraId="12AB7884">
      <w:pPr>
        <w:pStyle w:val="6"/>
        <w:widowControl/>
        <w:numPr>
          <w:ilvl w:val="0"/>
          <w:numId w:val="2"/>
        </w:numPr>
        <w:ind w:left="780" w:leftChars="0" w:hanging="360" w:firstLineChars="0"/>
        <w:rPr>
          <w:rFonts w:hint="default" w:ascii="Arial" w:hAnsi="Arial" w:cs="Arial"/>
        </w:rPr>
      </w:pPr>
      <w:r>
        <w:rPr>
          <w:rFonts w:hint="default" w:ascii="Arial" w:hAnsi="Arial" w:cs="Arial"/>
          <w:b/>
          <w:bCs/>
        </w:rPr>
        <w:t>Personal Experiences:</w:t>
      </w:r>
      <w:r>
        <w:rPr>
          <w:rFonts w:hint="default" w:ascii="Arial" w:hAnsi="Arial" w:cs="Arial"/>
        </w:rPr>
        <w:t xml:space="preserve"> Participants reflect on instances of uncertainty in their clinical practice.</w:t>
      </w:r>
    </w:p>
    <w:p w14:paraId="3416599C">
      <w:pPr>
        <w:pStyle w:val="6"/>
        <w:widowControl/>
        <w:numPr>
          <w:ilvl w:val="0"/>
          <w:numId w:val="2"/>
        </w:numPr>
        <w:ind w:left="780" w:leftChars="0" w:hanging="360" w:firstLineChars="0"/>
        <w:rPr>
          <w:rFonts w:hint="default" w:ascii="Arial" w:hAnsi="Arial" w:cs="Arial"/>
        </w:rPr>
      </w:pPr>
      <w:r>
        <w:rPr>
          <w:rFonts w:hint="default" w:ascii="Arial" w:hAnsi="Arial" w:cs="Arial"/>
          <w:b/>
          <w:bCs/>
        </w:rPr>
        <w:t>Discussion:</w:t>
      </w:r>
      <w:r>
        <w:rPr>
          <w:rFonts w:hint="default" w:ascii="Arial" w:hAnsi="Arial" w:cs="Arial"/>
        </w:rPr>
        <w:t xml:space="preserve"> How these experiences influenced their decision-making and patient care.</w:t>
      </w:r>
    </w:p>
    <w:p w14:paraId="0B050A12">
      <w:pPr>
        <w:pStyle w:val="3"/>
        <w:widowControl/>
        <w:rPr>
          <w:rFonts w:hint="default" w:ascii="Arial" w:hAnsi="Arial" w:cs="Arial"/>
        </w:rPr>
      </w:pPr>
      <w:r>
        <w:rPr>
          <w:rFonts w:hint="default" w:ascii="Arial" w:hAnsi="Arial" w:cs="Arial"/>
        </w:rPr>
        <w:t>III. Managing Cognitive</w:t>
      </w:r>
      <w:r>
        <w:rPr>
          <w:rFonts w:hint="eastAsia" w:ascii="Arial" w:hAnsi="Arial" w:cs="Arial"/>
          <w:lang w:val="en-US" w:eastAsia="zh-CN"/>
        </w:rPr>
        <w:t xml:space="preserve">, </w:t>
      </w:r>
      <w:r>
        <w:rPr>
          <w:rFonts w:hint="default" w:ascii="Arial" w:hAnsi="Arial" w:cs="Arial"/>
        </w:rPr>
        <w:t>Emotional and</w:t>
      </w:r>
      <w:r>
        <w:rPr>
          <w:rFonts w:hint="eastAsia" w:ascii="Arial" w:hAnsi="Arial" w:cs="Arial"/>
          <w:lang w:val="en-US" w:eastAsia="zh-CN"/>
        </w:rPr>
        <w:t xml:space="preserve"> </w:t>
      </w:r>
      <w:r>
        <w:rPr>
          <w:rFonts w:hint="default" w:ascii="Arial" w:hAnsi="Arial" w:cs="Arial"/>
        </w:rPr>
        <w:t>Responses (45 minutes)</w:t>
      </w:r>
    </w:p>
    <w:p w14:paraId="701F4DBE">
      <w:pPr>
        <w:pStyle w:val="4"/>
        <w:widowControl/>
        <w:rPr>
          <w:rFonts w:hint="default" w:ascii="Arial" w:hAnsi="Arial" w:cs="Arial"/>
        </w:rPr>
      </w:pPr>
      <w:r>
        <w:rPr>
          <w:rFonts w:hint="default" w:ascii="Arial" w:hAnsi="Arial" w:cs="Arial"/>
        </w:rPr>
        <w:t>1. Cognitive Strategies (15 minutes)</w:t>
      </w:r>
    </w:p>
    <w:p w14:paraId="55B782C4">
      <w:pPr>
        <w:pStyle w:val="6"/>
        <w:widowControl/>
        <w:numPr>
          <w:ilvl w:val="0"/>
          <w:numId w:val="2"/>
        </w:numPr>
        <w:ind w:left="780" w:leftChars="0" w:hanging="360" w:firstLineChars="0"/>
        <w:rPr>
          <w:rFonts w:hint="default" w:ascii="Arial" w:hAnsi="Arial" w:cs="Arial"/>
        </w:rPr>
      </w:pPr>
      <w:r>
        <w:rPr>
          <w:rFonts w:hint="default" w:ascii="Arial" w:hAnsi="Arial" w:cs="Arial"/>
        </w:rPr>
        <w:t>Critical Thinking and Problem-Solving Techniques</w:t>
      </w:r>
    </w:p>
    <w:p w14:paraId="16B6B788">
      <w:pPr>
        <w:pStyle w:val="6"/>
        <w:widowControl/>
        <w:numPr>
          <w:ilvl w:val="0"/>
          <w:numId w:val="2"/>
        </w:numPr>
        <w:ind w:left="780" w:leftChars="0" w:hanging="360" w:firstLineChars="0"/>
        <w:rPr>
          <w:rFonts w:hint="default" w:ascii="Arial" w:hAnsi="Arial" w:cs="Arial"/>
        </w:rPr>
      </w:pPr>
      <w:r>
        <w:rPr>
          <w:rFonts w:hint="default" w:ascii="Arial" w:hAnsi="Arial" w:cs="Arial"/>
        </w:rPr>
        <w:t>Decision-Making Frameworks under Uncertainty</w:t>
      </w:r>
    </w:p>
    <w:p w14:paraId="028CF185">
      <w:pPr>
        <w:pStyle w:val="4"/>
        <w:widowControl/>
        <w:numPr>
          <w:ilvl w:val="0"/>
          <w:numId w:val="3"/>
        </w:numPr>
        <w:rPr>
          <w:rFonts w:hint="default" w:ascii="Arial" w:hAnsi="Arial" w:cs="Arial"/>
        </w:rPr>
      </w:pPr>
      <w:r>
        <w:rPr>
          <w:rFonts w:hint="default" w:ascii="Arial" w:hAnsi="Arial" w:cs="Arial"/>
        </w:rPr>
        <w:t>Emotional Strategies (15 minutes)</w:t>
      </w:r>
    </w:p>
    <w:p w14:paraId="2BB39764">
      <w:pPr>
        <w:pStyle w:val="6"/>
        <w:widowControl/>
        <w:numPr>
          <w:ilvl w:val="0"/>
          <w:numId w:val="2"/>
        </w:numPr>
        <w:ind w:left="780" w:leftChars="0" w:hanging="360" w:firstLineChars="0"/>
        <w:rPr>
          <w:rFonts w:hint="default" w:ascii="Arial" w:hAnsi="Arial" w:cs="Arial"/>
        </w:rPr>
      </w:pPr>
      <w:r>
        <w:rPr>
          <w:rFonts w:hint="default" w:ascii="Arial" w:hAnsi="Arial" w:cs="Arial"/>
        </w:rPr>
        <w:t>Mindfulness and Stress Management</w:t>
      </w:r>
    </w:p>
    <w:p w14:paraId="451D6207">
      <w:pPr>
        <w:pStyle w:val="6"/>
        <w:widowControl/>
        <w:numPr>
          <w:ilvl w:val="0"/>
          <w:numId w:val="2"/>
        </w:numPr>
        <w:ind w:left="780" w:leftChars="0" w:hanging="360" w:firstLineChars="0"/>
        <w:rPr>
          <w:rFonts w:hint="default" w:ascii="Arial" w:hAnsi="Arial" w:cs="Arial"/>
        </w:rPr>
      </w:pPr>
      <w:r>
        <w:rPr>
          <w:rFonts w:hint="default" w:ascii="Arial" w:hAnsi="Arial" w:cs="Arial"/>
        </w:rPr>
        <w:t>Building Resilience and Coping Mechanisms</w:t>
      </w:r>
    </w:p>
    <w:p w14:paraId="5A0DC283">
      <w:pPr>
        <w:pStyle w:val="4"/>
        <w:widowControl/>
        <w:numPr>
          <w:ilvl w:val="0"/>
          <w:numId w:val="3"/>
        </w:numPr>
        <w:rPr>
          <w:rFonts w:hint="default" w:ascii="Arial" w:hAnsi="Arial" w:cs="Arial"/>
        </w:rPr>
      </w:pPr>
      <w:r>
        <w:rPr>
          <w:rFonts w:hint="eastAsia" w:ascii="Arial" w:hAnsi="Arial" w:cs="Arial"/>
          <w:lang w:val="en-US" w:eastAsia="zh-CN"/>
        </w:rPr>
        <w:t>Behavioral</w:t>
      </w:r>
      <w:r>
        <w:rPr>
          <w:rFonts w:hint="default" w:ascii="Arial" w:hAnsi="Arial" w:cs="Arial"/>
        </w:rPr>
        <w:t xml:space="preserve"> Strategies (15 minutes)</w:t>
      </w:r>
    </w:p>
    <w:p w14:paraId="0B97A01D">
      <w:pPr>
        <w:pStyle w:val="6"/>
        <w:widowControl/>
        <w:numPr>
          <w:ilvl w:val="0"/>
          <w:numId w:val="2"/>
        </w:numPr>
        <w:ind w:left="780" w:leftChars="0" w:hanging="360" w:firstLineChars="0"/>
        <w:rPr>
          <w:rFonts w:hint="default" w:ascii="Arial" w:hAnsi="Arial" w:cs="Arial"/>
        </w:rPr>
      </w:pPr>
      <w:r>
        <w:rPr>
          <w:rFonts w:hint="default" w:ascii="Arial" w:hAnsi="Arial" w:cs="Arial"/>
        </w:rPr>
        <w:t>Reflective Practice</w:t>
      </w:r>
      <w:r>
        <w:rPr>
          <w:rFonts w:hint="eastAsia" w:ascii="Arial" w:hAnsi="Arial" w:cs="Arial"/>
          <w:lang w:val="en-US" w:eastAsia="zh-CN"/>
        </w:rPr>
        <w:t xml:space="preserve"> and continuous learning</w:t>
      </w:r>
    </w:p>
    <w:p w14:paraId="32D50E5B">
      <w:pPr>
        <w:pStyle w:val="6"/>
        <w:widowControl/>
        <w:numPr>
          <w:ilvl w:val="0"/>
          <w:numId w:val="2"/>
        </w:numPr>
        <w:ind w:left="780" w:leftChars="0" w:hanging="360" w:firstLineChars="0"/>
        <w:rPr>
          <w:rFonts w:hint="default" w:ascii="Arial" w:hAnsi="Arial" w:cs="Arial"/>
        </w:rPr>
      </w:pPr>
      <w:r>
        <w:rPr>
          <w:rFonts w:hint="eastAsia" w:ascii="Arial" w:hAnsi="Arial" w:cs="Arial"/>
          <w:lang w:val="en-US" w:eastAsia="zh-CN"/>
        </w:rPr>
        <w:t>evidence-based practice and collaborative decision-making</w:t>
      </w:r>
    </w:p>
    <w:p w14:paraId="078D41E0">
      <w:pPr>
        <w:pStyle w:val="6"/>
        <w:widowControl/>
        <w:numPr>
          <w:ilvl w:val="0"/>
          <w:numId w:val="2"/>
        </w:numPr>
        <w:ind w:left="780" w:leftChars="0" w:hanging="360" w:firstLineChars="0"/>
        <w:rPr>
          <w:rFonts w:hint="default" w:ascii="Arial" w:hAnsi="Arial" w:cs="Arial"/>
        </w:rPr>
      </w:pPr>
      <w:r>
        <w:rPr>
          <w:rFonts w:hint="default" w:ascii="Arial" w:hAnsi="Arial" w:cs="Arial"/>
        </w:rPr>
        <w:t>Risk Management</w:t>
      </w:r>
    </w:p>
    <w:p w14:paraId="6DE62319">
      <w:pPr>
        <w:pStyle w:val="4"/>
        <w:widowControl/>
        <w:rPr>
          <w:rFonts w:hint="default" w:ascii="Arial" w:hAnsi="Arial" w:cs="Arial"/>
        </w:rPr>
      </w:pPr>
      <w:r>
        <w:rPr>
          <w:rFonts w:hint="eastAsia" w:ascii="Arial" w:hAnsi="Arial" w:cs="Arial"/>
          <w:lang w:val="en-US" w:eastAsia="zh-CN"/>
        </w:rPr>
        <w:t>4</w:t>
      </w:r>
      <w:r>
        <w:rPr>
          <w:rFonts w:hint="default" w:ascii="Arial" w:hAnsi="Arial" w:cs="Arial"/>
        </w:rPr>
        <w:t>. Workshop</w:t>
      </w:r>
      <w:bookmarkStart w:id="1" w:name="OLE_LINK2"/>
      <w:r>
        <w:rPr>
          <w:rFonts w:hint="default" w:ascii="Arial" w:hAnsi="Arial" w:cs="Arial"/>
        </w:rPr>
        <w:t xml:space="preserve"> (15 minutes)</w:t>
      </w:r>
      <w:bookmarkEnd w:id="1"/>
    </w:p>
    <w:p w14:paraId="75119FAA">
      <w:pPr>
        <w:pStyle w:val="6"/>
        <w:widowControl/>
        <w:numPr>
          <w:ilvl w:val="0"/>
          <w:numId w:val="2"/>
        </w:numPr>
        <w:ind w:left="780" w:leftChars="0" w:hanging="360" w:firstLineChars="0"/>
        <w:rPr>
          <w:rFonts w:hint="default" w:ascii="Arial" w:hAnsi="Arial" w:cs="Arial"/>
        </w:rPr>
      </w:pPr>
      <w:r>
        <w:rPr>
          <w:rFonts w:hint="default" w:ascii="Arial" w:hAnsi="Arial" w:cs="Arial"/>
        </w:rPr>
        <w:t>Role-Playing: Practice handling uncertainty in simulated scenarios.</w:t>
      </w:r>
    </w:p>
    <w:p w14:paraId="7C71DF43">
      <w:pPr>
        <w:pStyle w:val="6"/>
        <w:widowControl/>
        <w:numPr>
          <w:ilvl w:val="0"/>
          <w:numId w:val="2"/>
        </w:numPr>
        <w:ind w:left="780" w:leftChars="0" w:hanging="360" w:firstLineChars="0"/>
        <w:rPr>
          <w:rFonts w:hint="default" w:ascii="Arial" w:hAnsi="Arial" w:cs="Arial"/>
        </w:rPr>
      </w:pPr>
      <w:r>
        <w:rPr>
          <w:rFonts w:hint="default" w:ascii="Arial" w:hAnsi="Arial" w:cs="Arial"/>
        </w:rPr>
        <w:t>Peer Feedback and Group Reporting: Each group performs role-playing, followed by feedback from peers and instructors.</w:t>
      </w:r>
    </w:p>
    <w:p w14:paraId="4D629305">
      <w:pPr>
        <w:pStyle w:val="3"/>
        <w:widowControl/>
        <w:rPr>
          <w:rFonts w:hint="default" w:ascii="Arial" w:hAnsi="Arial" w:cs="Arial"/>
        </w:rPr>
      </w:pPr>
      <w:r>
        <w:rPr>
          <w:rFonts w:hint="default" w:ascii="Arial" w:hAnsi="Arial" w:cs="Arial"/>
        </w:rPr>
        <w:t>IV. Effective Communication of Uncertainty (</w:t>
      </w:r>
      <w:r>
        <w:rPr>
          <w:rFonts w:hint="eastAsia" w:ascii="Arial" w:hAnsi="Arial" w:cs="Arial"/>
          <w:lang w:val="en-US" w:eastAsia="zh-CN"/>
        </w:rPr>
        <w:t>4</w:t>
      </w:r>
      <w:r>
        <w:rPr>
          <w:rFonts w:hint="default" w:ascii="Arial" w:hAnsi="Arial" w:cs="Arial"/>
        </w:rPr>
        <w:t>5 minutes)</w:t>
      </w:r>
    </w:p>
    <w:p w14:paraId="2C664A59">
      <w:pPr>
        <w:pStyle w:val="4"/>
        <w:widowControl/>
        <w:rPr>
          <w:rFonts w:hint="default" w:ascii="Arial" w:hAnsi="Arial" w:cs="Arial"/>
        </w:rPr>
      </w:pPr>
      <w:r>
        <w:rPr>
          <w:rFonts w:hint="default" w:ascii="Arial" w:hAnsi="Arial" w:cs="Arial"/>
        </w:rPr>
        <w:t>1. Communication Skills (20 minutes)</w:t>
      </w:r>
    </w:p>
    <w:p w14:paraId="602EC684">
      <w:pPr>
        <w:pStyle w:val="6"/>
        <w:widowControl/>
        <w:numPr>
          <w:ilvl w:val="0"/>
          <w:numId w:val="2"/>
        </w:numPr>
        <w:ind w:left="780" w:leftChars="0" w:hanging="360" w:firstLineChars="0"/>
        <w:rPr>
          <w:rFonts w:hint="default" w:ascii="Arial" w:hAnsi="Arial" w:cs="Arial"/>
        </w:rPr>
      </w:pPr>
      <w:r>
        <w:rPr>
          <w:rFonts w:hint="default" w:ascii="Arial" w:hAnsi="Arial" w:cs="Arial"/>
        </w:rPr>
        <w:t>Techniques for Discussing Uncertainty with Patients: Transparency, shared decision-making</w:t>
      </w:r>
    </w:p>
    <w:p w14:paraId="03998D8C">
      <w:pPr>
        <w:pStyle w:val="6"/>
        <w:widowControl/>
        <w:numPr>
          <w:ilvl w:val="0"/>
          <w:numId w:val="2"/>
        </w:numPr>
        <w:ind w:left="780" w:leftChars="0" w:hanging="360" w:firstLineChars="0"/>
        <w:rPr>
          <w:rFonts w:hint="default" w:ascii="Arial" w:hAnsi="Arial" w:cs="Arial"/>
        </w:rPr>
      </w:pPr>
      <w:r>
        <w:rPr>
          <w:rFonts w:hint="default" w:ascii="Arial" w:hAnsi="Arial" w:cs="Arial"/>
        </w:rPr>
        <w:t>Communicating with Colleagues: Team collaboration, seeking second opinions</w:t>
      </w:r>
    </w:p>
    <w:p w14:paraId="067DB6A4">
      <w:pPr>
        <w:pStyle w:val="4"/>
        <w:widowControl/>
        <w:rPr>
          <w:rFonts w:hint="default" w:ascii="Arial" w:hAnsi="Arial" w:cs="Arial"/>
        </w:rPr>
      </w:pPr>
      <w:r>
        <w:rPr>
          <w:rFonts w:hint="default" w:ascii="Arial" w:hAnsi="Arial" w:cs="Arial"/>
        </w:rPr>
        <w:t>2. Simulation Exercises (20 minutes)</w:t>
      </w:r>
    </w:p>
    <w:p w14:paraId="4BEFF426">
      <w:pPr>
        <w:pStyle w:val="6"/>
        <w:widowControl/>
        <w:numPr>
          <w:ilvl w:val="0"/>
          <w:numId w:val="2"/>
        </w:numPr>
        <w:ind w:left="780" w:leftChars="0" w:hanging="360" w:firstLineChars="0"/>
        <w:rPr>
          <w:rFonts w:hint="default" w:ascii="Arial" w:hAnsi="Arial" w:cs="Arial"/>
        </w:rPr>
      </w:pPr>
      <w:r>
        <w:rPr>
          <w:rFonts w:hint="default" w:ascii="Arial" w:hAnsi="Arial" w:cs="Arial"/>
        </w:rPr>
        <w:t>Simulated Patient Interviews: Focus on conveying uncertainty.</w:t>
      </w:r>
    </w:p>
    <w:p w14:paraId="5A51110F">
      <w:pPr>
        <w:pStyle w:val="6"/>
        <w:widowControl/>
        <w:numPr>
          <w:ilvl w:val="0"/>
          <w:numId w:val="2"/>
        </w:numPr>
        <w:ind w:left="780" w:leftChars="0" w:hanging="360" w:firstLineChars="0"/>
        <w:rPr>
          <w:rFonts w:hint="default" w:ascii="Arial" w:hAnsi="Arial" w:cs="Arial"/>
        </w:rPr>
      </w:pPr>
      <w:r>
        <w:rPr>
          <w:rFonts w:hint="default" w:ascii="Arial" w:hAnsi="Arial" w:cs="Arial"/>
        </w:rPr>
        <w:t>Analysis of Recorded Sessions: Identify strengths and areas for improvement.</w:t>
      </w:r>
    </w:p>
    <w:p w14:paraId="57A8C172">
      <w:pPr>
        <w:pStyle w:val="4"/>
        <w:widowControl/>
        <w:rPr>
          <w:rFonts w:hint="default" w:ascii="Arial" w:hAnsi="Arial" w:cs="Arial"/>
        </w:rPr>
      </w:pPr>
      <w:r>
        <w:rPr>
          <w:rFonts w:hint="default" w:ascii="Arial" w:hAnsi="Arial" w:cs="Arial"/>
        </w:rPr>
        <w:t>3. Summary and Q&amp;A (5 minutes)</w:t>
      </w:r>
    </w:p>
    <w:p w14:paraId="69253824">
      <w:pPr>
        <w:pStyle w:val="6"/>
        <w:widowControl/>
        <w:numPr>
          <w:ilvl w:val="0"/>
          <w:numId w:val="2"/>
        </w:numPr>
        <w:ind w:left="780" w:leftChars="0" w:hanging="360" w:firstLineChars="0"/>
        <w:rPr>
          <w:rFonts w:hint="default" w:ascii="Arial" w:hAnsi="Arial" w:cs="Arial"/>
        </w:rPr>
      </w:pPr>
      <w:r>
        <w:rPr>
          <w:rFonts w:hint="default" w:ascii="Arial" w:hAnsi="Arial" w:cs="Arial"/>
        </w:rPr>
        <w:t>Recap the session's content and answer participants' questions.</w:t>
      </w:r>
    </w:p>
    <w:p w14:paraId="50EC1B0A">
      <w:pPr>
        <w:pStyle w:val="3"/>
        <w:widowControl/>
        <w:rPr>
          <w:rFonts w:hint="default" w:ascii="Arial" w:hAnsi="Arial" w:cs="Arial"/>
        </w:rPr>
      </w:pPr>
      <w:r>
        <w:rPr>
          <w:rFonts w:hint="default" w:ascii="Arial" w:hAnsi="Arial" w:cs="Arial"/>
        </w:rPr>
        <w:t>V. Course Summary and Evaluation (</w:t>
      </w:r>
      <w:r>
        <w:rPr>
          <w:rFonts w:hint="eastAsia" w:ascii="Arial" w:hAnsi="Arial" w:cs="Arial"/>
          <w:lang w:val="en-US" w:eastAsia="zh-CN"/>
        </w:rPr>
        <w:t>4</w:t>
      </w:r>
      <w:r>
        <w:rPr>
          <w:rFonts w:hint="default" w:ascii="Arial" w:hAnsi="Arial" w:cs="Arial"/>
        </w:rPr>
        <w:t>5 minutes)</w:t>
      </w:r>
    </w:p>
    <w:p w14:paraId="36CA6DB7">
      <w:pPr>
        <w:pStyle w:val="4"/>
        <w:widowControl/>
        <w:rPr>
          <w:rFonts w:hint="default" w:ascii="Arial" w:hAnsi="Arial" w:cs="Arial"/>
        </w:rPr>
      </w:pPr>
      <w:r>
        <w:rPr>
          <w:rFonts w:hint="default" w:ascii="Arial" w:hAnsi="Arial" w:cs="Arial"/>
        </w:rPr>
        <w:t>1. Evaluation (</w:t>
      </w:r>
      <w:r>
        <w:rPr>
          <w:rFonts w:hint="eastAsia" w:ascii="Arial" w:hAnsi="Arial" w:cs="Arial"/>
          <w:lang w:val="en-US" w:eastAsia="zh-CN"/>
        </w:rPr>
        <w:t>2</w:t>
      </w:r>
      <w:r>
        <w:rPr>
          <w:rFonts w:hint="default" w:ascii="Arial" w:hAnsi="Arial" w:cs="Arial"/>
        </w:rPr>
        <w:t>0 minutes)</w:t>
      </w:r>
    </w:p>
    <w:p w14:paraId="6A94FD5C">
      <w:pPr>
        <w:pStyle w:val="6"/>
        <w:widowControl/>
        <w:numPr>
          <w:ilvl w:val="0"/>
          <w:numId w:val="2"/>
        </w:numPr>
        <w:ind w:left="780" w:leftChars="0" w:hanging="360" w:firstLineChars="0"/>
        <w:rPr>
          <w:rFonts w:hint="default" w:ascii="Arial" w:hAnsi="Arial" w:cs="Arial"/>
        </w:rPr>
      </w:pPr>
      <w:r>
        <w:rPr>
          <w:rFonts w:hint="default" w:ascii="Arial" w:hAnsi="Arial" w:cs="Arial"/>
          <w:b/>
          <w:bCs/>
        </w:rPr>
        <w:t>Written Reflection:</w:t>
      </w:r>
      <w:r>
        <w:rPr>
          <w:rFonts w:hint="default" w:ascii="Arial" w:hAnsi="Arial" w:cs="Arial"/>
        </w:rPr>
        <w:t xml:space="preserve"> Participants write about their learning experiences.</w:t>
      </w:r>
    </w:p>
    <w:p w14:paraId="3A89A28D">
      <w:pPr>
        <w:pStyle w:val="6"/>
        <w:widowControl/>
        <w:numPr>
          <w:ilvl w:val="0"/>
          <w:numId w:val="2"/>
        </w:numPr>
        <w:ind w:left="780" w:leftChars="0" w:hanging="360" w:firstLineChars="0"/>
        <w:rPr>
          <w:rFonts w:hint="default" w:ascii="Arial" w:hAnsi="Arial" w:cs="Arial"/>
        </w:rPr>
      </w:pPr>
      <w:r>
        <w:rPr>
          <w:rFonts w:hint="default" w:ascii="Arial" w:hAnsi="Arial" w:cs="Arial"/>
          <w:b/>
          <w:bCs/>
        </w:rPr>
        <w:t>Practical Exam:</w:t>
      </w:r>
      <w:r>
        <w:rPr>
          <w:rFonts w:hint="default" w:ascii="Arial" w:hAnsi="Arial" w:cs="Arial"/>
        </w:rPr>
        <w:t xml:space="preserve"> Includes role-playing and case discussions to test practical application.</w:t>
      </w:r>
    </w:p>
    <w:p w14:paraId="6E410B38">
      <w:pPr>
        <w:pStyle w:val="4"/>
        <w:widowControl/>
        <w:rPr>
          <w:rFonts w:hint="default" w:ascii="Arial" w:hAnsi="Arial" w:cs="Arial"/>
        </w:rPr>
      </w:pPr>
      <w:r>
        <w:rPr>
          <w:rFonts w:hint="default" w:ascii="Arial" w:hAnsi="Arial" w:cs="Arial"/>
        </w:rPr>
        <w:t>2. Feedback (</w:t>
      </w:r>
      <w:r>
        <w:rPr>
          <w:rFonts w:hint="eastAsia" w:ascii="Arial" w:hAnsi="Arial" w:cs="Arial"/>
          <w:lang w:val="en-US" w:eastAsia="zh-CN"/>
        </w:rPr>
        <w:t>25</w:t>
      </w:r>
      <w:r>
        <w:rPr>
          <w:rFonts w:hint="default" w:ascii="Arial" w:hAnsi="Arial" w:cs="Arial"/>
        </w:rPr>
        <w:t xml:space="preserve"> minutes)</w:t>
      </w:r>
    </w:p>
    <w:p w14:paraId="0B9ACEEB">
      <w:pPr>
        <w:pStyle w:val="6"/>
        <w:widowControl/>
        <w:numPr>
          <w:ilvl w:val="0"/>
          <w:numId w:val="2"/>
        </w:numPr>
        <w:ind w:left="780" w:leftChars="0" w:hanging="360" w:firstLineChars="0"/>
        <w:rPr>
          <w:rFonts w:hint="default" w:ascii="Arial" w:hAnsi="Arial" w:cs="Arial"/>
        </w:rPr>
      </w:pPr>
      <w:r>
        <w:rPr>
          <w:rFonts w:hint="default" w:ascii="Arial" w:hAnsi="Arial" w:cs="Arial"/>
          <w:b/>
          <w:bCs/>
        </w:rPr>
        <w:t xml:space="preserve">Group and Individual Feedback Sessions: </w:t>
      </w:r>
      <w:r>
        <w:rPr>
          <w:rFonts w:hint="default" w:ascii="Arial" w:hAnsi="Arial" w:cs="Arial"/>
        </w:rPr>
        <w:t>Discuss continuous improvement plans based on feedback.</w:t>
      </w:r>
    </w:p>
    <w:p w14:paraId="6A8CCE0B">
      <w:pPr>
        <w:pStyle w:val="6"/>
        <w:widowControl/>
        <w:numPr>
          <w:ilvl w:val="0"/>
          <w:numId w:val="2"/>
        </w:numPr>
        <w:ind w:left="780" w:leftChars="0" w:hanging="360" w:firstLineChars="0"/>
        <w:rPr>
          <w:rFonts w:hint="default" w:ascii="Arial" w:hAnsi="Arial" w:cs="Arial"/>
        </w:rPr>
      </w:pPr>
      <w:r>
        <w:rPr>
          <w:rFonts w:hint="default" w:ascii="Arial" w:hAnsi="Arial" w:cs="Arial"/>
          <w:b/>
          <w:bCs/>
        </w:rPr>
        <w:t>Provide Further Learning Resources:</w:t>
      </w:r>
      <w:r>
        <w:rPr>
          <w:rFonts w:hint="default" w:ascii="Arial" w:hAnsi="Arial" w:cs="Arial"/>
        </w:rPr>
        <w:t xml:space="preserve"> Recommend relevant book</w:t>
      </w:r>
      <w:r>
        <w:rPr>
          <w:rFonts w:hint="default" w:ascii="Arial" w:hAnsi="Arial" w:cs="Arial"/>
          <w:lang w:val="en-US" w:eastAsia="zh-CN"/>
        </w:rPr>
        <w:t>s “Preparing Learners for Uncertainty in Health Professions: A Handbook for Educators”</w:t>
      </w:r>
      <w:r>
        <w:rPr>
          <w:rFonts w:hint="default" w:ascii="Arial" w:hAnsi="Arial" w:cs="Arial"/>
        </w:rPr>
        <w:t>,</w:t>
      </w:r>
      <w:bookmarkStart w:id="2" w:name="_GoBack"/>
      <w:bookmarkEnd w:id="2"/>
      <w:r>
        <w:rPr>
          <w:rFonts w:hint="default" w:ascii="Arial" w:hAnsi="Arial" w:cs="Arial"/>
        </w:rPr>
        <w:t xml:space="preserve"> articles, and online courses.</w:t>
      </w:r>
    </w:p>
    <w:p w14:paraId="21423C2C">
      <w:pPr>
        <w:pStyle w:val="2"/>
        <w:widowControl/>
        <w:rPr>
          <w:rFonts w:hint="default" w:ascii="Arial" w:hAnsi="Arial" w:cs="Arial"/>
        </w:rPr>
      </w:pPr>
      <w:r>
        <w:rPr>
          <w:rFonts w:hint="default" w:ascii="Arial" w:hAnsi="Arial" w:cs="Arial"/>
        </w:rPr>
        <w:t>Teaching Resources</w:t>
      </w:r>
    </w:p>
    <w:p w14:paraId="2DB5B772">
      <w:pPr>
        <w:pStyle w:val="6"/>
        <w:widowControl/>
        <w:numPr>
          <w:ilvl w:val="0"/>
          <w:numId w:val="2"/>
        </w:numPr>
        <w:ind w:left="780" w:leftChars="0" w:hanging="360" w:firstLineChars="0"/>
        <w:rPr>
          <w:rFonts w:hint="default" w:ascii="Arial" w:hAnsi="Arial" w:cs="Arial"/>
        </w:rPr>
      </w:pPr>
      <w:r>
        <w:rPr>
          <w:rFonts w:hint="default" w:ascii="Arial" w:hAnsi="Arial" w:cs="Arial"/>
        </w:rPr>
        <w:t>Handouts</w:t>
      </w:r>
    </w:p>
    <w:p w14:paraId="39A6B516">
      <w:pPr>
        <w:pStyle w:val="6"/>
        <w:widowControl/>
        <w:numPr>
          <w:ilvl w:val="0"/>
          <w:numId w:val="2"/>
        </w:numPr>
        <w:ind w:left="780" w:leftChars="0" w:hanging="360" w:firstLineChars="0"/>
        <w:rPr>
          <w:rFonts w:hint="default" w:ascii="Arial" w:hAnsi="Arial" w:cs="Arial"/>
        </w:rPr>
      </w:pPr>
      <w:r>
        <w:rPr>
          <w:rFonts w:hint="default" w:ascii="Arial" w:hAnsi="Arial" w:cs="Arial"/>
        </w:rPr>
        <w:t>Case analysis materials</w:t>
      </w:r>
    </w:p>
    <w:p w14:paraId="55B917EA">
      <w:pPr>
        <w:pStyle w:val="6"/>
        <w:widowControl/>
        <w:numPr>
          <w:ilvl w:val="0"/>
          <w:numId w:val="2"/>
        </w:numPr>
        <w:ind w:left="780" w:leftChars="0" w:hanging="360" w:firstLineChars="0"/>
        <w:rPr>
          <w:rFonts w:hint="default" w:ascii="Arial" w:hAnsi="Arial" w:cs="Arial"/>
        </w:rPr>
      </w:pPr>
      <w:r>
        <w:rPr>
          <w:rFonts w:hint="default" w:ascii="Arial" w:hAnsi="Arial" w:cs="Arial"/>
        </w:rPr>
        <w:t>Role-playing scripts</w:t>
      </w:r>
    </w:p>
    <w:p w14:paraId="2DDD1EB8">
      <w:pPr>
        <w:pStyle w:val="6"/>
        <w:widowControl/>
        <w:numPr>
          <w:ilvl w:val="0"/>
          <w:numId w:val="2"/>
        </w:numPr>
        <w:ind w:left="780" w:leftChars="0" w:hanging="360" w:firstLineChars="0"/>
        <w:rPr>
          <w:rFonts w:hint="default" w:ascii="Arial" w:hAnsi="Arial" w:cs="Arial"/>
        </w:rPr>
      </w:pPr>
      <w:r>
        <w:rPr>
          <w:rFonts w:hint="default" w:ascii="Arial" w:hAnsi="Arial" w:cs="Arial"/>
        </w:rPr>
        <w:t>Psychological support and relaxation technique manuals</w:t>
      </w:r>
    </w:p>
    <w:p w14:paraId="20C21CA1">
      <w:pPr>
        <w:pStyle w:val="2"/>
        <w:widowControl/>
        <w:rPr>
          <w:rFonts w:hint="default" w:ascii="Arial" w:hAnsi="Arial" w:cs="Arial"/>
        </w:rPr>
      </w:pPr>
      <w:r>
        <w:rPr>
          <w:rFonts w:hint="default" w:ascii="Arial" w:hAnsi="Arial" w:cs="Arial"/>
        </w:rPr>
        <w:t>Evaluation Methods</w:t>
      </w:r>
    </w:p>
    <w:p w14:paraId="4340AE06">
      <w:pPr>
        <w:pStyle w:val="6"/>
        <w:widowControl/>
        <w:numPr>
          <w:ilvl w:val="0"/>
          <w:numId w:val="2"/>
        </w:numPr>
        <w:ind w:left="780" w:leftChars="0" w:hanging="360" w:firstLineChars="0"/>
        <w:rPr>
          <w:rFonts w:hint="default" w:ascii="Arial" w:hAnsi="Arial" w:cs="Arial"/>
        </w:rPr>
      </w:pPr>
      <w:r>
        <w:rPr>
          <w:rFonts w:hint="default" w:ascii="Arial" w:hAnsi="Arial" w:cs="Arial"/>
        </w:rPr>
        <w:t>Participation: Observe participant engagement during discussions and role-playing.</w:t>
      </w:r>
    </w:p>
    <w:p w14:paraId="0952443D">
      <w:pPr>
        <w:pStyle w:val="6"/>
        <w:widowControl/>
        <w:numPr>
          <w:ilvl w:val="0"/>
          <w:numId w:val="2"/>
        </w:numPr>
        <w:ind w:left="780" w:leftChars="0" w:hanging="360" w:firstLineChars="0"/>
        <w:rPr>
          <w:rFonts w:hint="default" w:ascii="Arial" w:hAnsi="Arial" w:cs="Arial"/>
        </w:rPr>
      </w:pPr>
      <w:r>
        <w:rPr>
          <w:rFonts w:hint="default" w:ascii="Arial" w:hAnsi="Arial" w:cs="Arial"/>
        </w:rPr>
        <w:t>Role-Playing and Group Discussion Performance: Assess the practical application of skills.</w:t>
      </w:r>
    </w:p>
    <w:p w14:paraId="40CCAE9B">
      <w:pPr>
        <w:pStyle w:val="6"/>
        <w:widowControl/>
        <w:numPr>
          <w:ilvl w:val="0"/>
          <w:numId w:val="2"/>
        </w:numPr>
        <w:ind w:left="780" w:leftChars="0" w:hanging="360" w:firstLineChars="0"/>
        <w:rPr>
          <w:rFonts w:hint="default" w:ascii="Arial" w:hAnsi="Arial" w:cs="Arial"/>
        </w:rPr>
      </w:pPr>
      <w:r>
        <w:rPr>
          <w:rFonts w:hint="default" w:ascii="Arial" w:hAnsi="Arial" w:cs="Arial"/>
        </w:rPr>
        <w:t>Reflection Log Completion: Check for timely and thoughtful completion of reflection logs.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8217E"/>
    <w:multiLevelType w:val="multilevel"/>
    <w:tmpl w:val="C958217E"/>
    <w:lvl w:ilvl="0" w:tentative="0">
      <w:start w:val="1"/>
      <w:numFmt w:val="bullet"/>
      <w:lvlText w:val=""/>
      <w:lvlJc w:val="left"/>
      <w:pPr>
        <w:tabs>
          <w:tab w:val="left" w:pos="720"/>
        </w:tabs>
        <w:ind w:left="780" w:hanging="360"/>
      </w:pPr>
      <w:rPr>
        <w:rFonts w:ascii="Symbol" w:hAnsi="Symbol" w:cs="Symbol"/>
        <w:sz w:val="20"/>
      </w:rPr>
    </w:lvl>
    <w:lvl w:ilvl="1" w:tentative="0">
      <w:start w:val="1"/>
      <w:numFmt w:val="bullet"/>
      <w:lvlText w:val="o"/>
      <w:lvlJc w:val="left"/>
      <w:pPr>
        <w:tabs>
          <w:tab w:val="left" w:pos="1440"/>
        </w:tabs>
        <w:ind w:left="1500" w:hanging="360"/>
      </w:pPr>
      <w:rPr>
        <w:rFonts w:ascii="Courier New" w:hAnsi="Courier New" w:cs="Courier New"/>
        <w:sz w:val="20"/>
      </w:rPr>
    </w:lvl>
    <w:lvl w:ilvl="2" w:tentative="0">
      <w:start w:val="1"/>
      <w:numFmt w:val="bullet"/>
      <w:lvlText w:val=""/>
      <w:lvlJc w:val="left"/>
      <w:pPr>
        <w:tabs>
          <w:tab w:val="left" w:pos="2160"/>
        </w:tabs>
        <w:ind w:left="2220" w:hanging="360"/>
      </w:pPr>
      <w:rPr>
        <w:rFonts w:ascii="Wingdings" w:hAnsi="Wingdings" w:cs="Wingdings"/>
        <w:sz w:val="20"/>
      </w:rPr>
    </w:lvl>
    <w:lvl w:ilvl="3" w:tentative="0">
      <w:start w:val="1"/>
      <w:numFmt w:val="bullet"/>
      <w:lvlText w:val=""/>
      <w:lvlJc w:val="left"/>
      <w:pPr>
        <w:tabs>
          <w:tab w:val="left" w:pos="2880"/>
        </w:tabs>
        <w:ind w:left="2940" w:hanging="360"/>
      </w:pPr>
      <w:rPr>
        <w:rFonts w:hint="default" w:ascii="Wingdings" w:hAnsi="Wingdings" w:cs="Wingdings"/>
        <w:sz w:val="20"/>
      </w:rPr>
    </w:lvl>
    <w:lvl w:ilvl="4" w:tentative="0">
      <w:start w:val="1"/>
      <w:numFmt w:val="bullet"/>
      <w:lvlText w:val=""/>
      <w:lvlJc w:val="left"/>
      <w:pPr>
        <w:tabs>
          <w:tab w:val="left" w:pos="3600"/>
        </w:tabs>
        <w:ind w:left="3660" w:hanging="360"/>
      </w:pPr>
      <w:rPr>
        <w:rFonts w:hint="default" w:ascii="Wingdings" w:hAnsi="Wingdings" w:cs="Wingdings"/>
        <w:sz w:val="20"/>
      </w:rPr>
    </w:lvl>
    <w:lvl w:ilvl="5" w:tentative="0">
      <w:start w:val="1"/>
      <w:numFmt w:val="bullet"/>
      <w:lvlText w:val=""/>
      <w:lvlJc w:val="left"/>
      <w:pPr>
        <w:tabs>
          <w:tab w:val="left" w:pos="4320"/>
        </w:tabs>
        <w:ind w:left="4380" w:hanging="360"/>
      </w:pPr>
      <w:rPr>
        <w:rFonts w:hint="default" w:ascii="Wingdings" w:hAnsi="Wingdings" w:cs="Wingdings"/>
        <w:sz w:val="20"/>
      </w:rPr>
    </w:lvl>
    <w:lvl w:ilvl="6" w:tentative="0">
      <w:start w:val="1"/>
      <w:numFmt w:val="bullet"/>
      <w:lvlText w:val=""/>
      <w:lvlJc w:val="left"/>
      <w:pPr>
        <w:tabs>
          <w:tab w:val="left" w:pos="5040"/>
        </w:tabs>
        <w:ind w:left="5100" w:hanging="360"/>
      </w:pPr>
      <w:rPr>
        <w:rFonts w:hint="default" w:ascii="Wingdings" w:hAnsi="Wingdings" w:cs="Wingdings"/>
        <w:sz w:val="20"/>
      </w:rPr>
    </w:lvl>
    <w:lvl w:ilvl="7" w:tentative="0">
      <w:start w:val="1"/>
      <w:numFmt w:val="bullet"/>
      <w:lvlText w:val=""/>
      <w:lvlJc w:val="left"/>
      <w:pPr>
        <w:tabs>
          <w:tab w:val="left" w:pos="5760"/>
        </w:tabs>
        <w:ind w:left="5820" w:hanging="360"/>
      </w:pPr>
      <w:rPr>
        <w:rFonts w:hint="default" w:ascii="Wingdings" w:hAnsi="Wingdings" w:cs="Wingdings"/>
        <w:sz w:val="20"/>
      </w:rPr>
    </w:lvl>
    <w:lvl w:ilvl="8" w:tentative="0">
      <w:start w:val="1"/>
      <w:numFmt w:val="bullet"/>
      <w:lvlText w:val=""/>
      <w:lvlJc w:val="left"/>
      <w:pPr>
        <w:tabs>
          <w:tab w:val="left" w:pos="6480"/>
        </w:tabs>
        <w:ind w:left="6540" w:hanging="360"/>
      </w:pPr>
      <w:rPr>
        <w:rFonts w:hint="default" w:ascii="Wingdings" w:hAnsi="Wingdings" w:cs="Wingdings"/>
        <w:sz w:val="20"/>
      </w:rPr>
    </w:lvl>
  </w:abstractNum>
  <w:abstractNum w:abstractNumId="1">
    <w:nsid w:val="540E3222"/>
    <w:multiLevelType w:val="multilevel"/>
    <w:tmpl w:val="540E3222"/>
    <w:lvl w:ilvl="0" w:tentative="0">
      <w:start w:val="1"/>
      <w:numFmt w:val="decimal"/>
      <w:lvlText w:val="%1."/>
      <w:lvlJc w:val="left"/>
      <w:pPr>
        <w:tabs>
          <w:tab w:val="left" w:pos="720"/>
        </w:tabs>
        <w:ind w:left="780" w:hanging="360"/>
      </w:pPr>
      <w:rPr>
        <w:sz w:val="24"/>
        <w:szCs w:val="24"/>
      </w:rPr>
    </w:lvl>
    <w:lvl w:ilvl="1" w:tentative="0">
      <w:start w:val="1"/>
      <w:numFmt w:val="decimal"/>
      <w:lvlText w:val="%2."/>
      <w:lvlJc w:val="left"/>
      <w:pPr>
        <w:tabs>
          <w:tab w:val="left" w:pos="1440"/>
        </w:tabs>
        <w:ind w:left="1500" w:hanging="360"/>
      </w:pPr>
      <w:rPr>
        <w:sz w:val="24"/>
        <w:szCs w:val="24"/>
      </w:rPr>
    </w:lvl>
    <w:lvl w:ilvl="2" w:tentative="0">
      <w:start w:val="1"/>
      <w:numFmt w:val="decimal"/>
      <w:lvlText w:val="%3."/>
      <w:lvlJc w:val="left"/>
      <w:pPr>
        <w:tabs>
          <w:tab w:val="left" w:pos="2160"/>
        </w:tabs>
        <w:ind w:left="2220" w:hanging="360"/>
      </w:pPr>
      <w:rPr>
        <w:sz w:val="24"/>
        <w:szCs w:val="24"/>
      </w:rPr>
    </w:lvl>
    <w:lvl w:ilvl="3" w:tentative="0">
      <w:start w:val="1"/>
      <w:numFmt w:val="decimal"/>
      <w:lvlText w:val="%4."/>
      <w:lvlJc w:val="left"/>
      <w:pPr>
        <w:tabs>
          <w:tab w:val="left" w:pos="2517"/>
        </w:tabs>
        <w:ind w:left="2940" w:hanging="360"/>
      </w:pPr>
      <w:rPr>
        <w:sz w:val="24"/>
        <w:szCs w:val="24"/>
      </w:rPr>
    </w:lvl>
    <w:lvl w:ilvl="4" w:tentative="0">
      <w:start w:val="1"/>
      <w:numFmt w:val="decimal"/>
      <w:lvlText w:val="%5."/>
      <w:lvlJc w:val="left"/>
      <w:pPr>
        <w:tabs>
          <w:tab w:val="left" w:pos="3238"/>
        </w:tabs>
        <w:ind w:left="3660" w:hanging="360"/>
      </w:pPr>
      <w:rPr>
        <w:sz w:val="24"/>
        <w:szCs w:val="24"/>
      </w:rPr>
    </w:lvl>
    <w:lvl w:ilvl="5" w:tentative="0">
      <w:start w:val="1"/>
      <w:numFmt w:val="decimal"/>
      <w:lvlText w:val="%6."/>
      <w:lvlJc w:val="left"/>
      <w:pPr>
        <w:tabs>
          <w:tab w:val="left" w:pos="3958"/>
        </w:tabs>
        <w:ind w:left="4380" w:hanging="360"/>
      </w:pPr>
      <w:rPr>
        <w:sz w:val="24"/>
        <w:szCs w:val="24"/>
      </w:rPr>
    </w:lvl>
    <w:lvl w:ilvl="6" w:tentative="0">
      <w:start w:val="1"/>
      <w:numFmt w:val="decimal"/>
      <w:lvlText w:val="%7."/>
      <w:lvlJc w:val="left"/>
      <w:pPr>
        <w:tabs>
          <w:tab w:val="left" w:pos="4678"/>
        </w:tabs>
        <w:ind w:left="5100" w:hanging="360"/>
      </w:pPr>
      <w:rPr>
        <w:sz w:val="24"/>
        <w:szCs w:val="24"/>
      </w:rPr>
    </w:lvl>
    <w:lvl w:ilvl="7" w:tentative="0">
      <w:start w:val="1"/>
      <w:numFmt w:val="decimal"/>
      <w:lvlText w:val="%8."/>
      <w:lvlJc w:val="left"/>
      <w:pPr>
        <w:tabs>
          <w:tab w:val="left" w:pos="5398"/>
        </w:tabs>
        <w:ind w:left="5820" w:hanging="360"/>
      </w:pPr>
      <w:rPr>
        <w:sz w:val="24"/>
        <w:szCs w:val="24"/>
      </w:rPr>
    </w:lvl>
    <w:lvl w:ilvl="8" w:tentative="0">
      <w:start w:val="1"/>
      <w:numFmt w:val="decimal"/>
      <w:lvlText w:val="%9."/>
      <w:lvlJc w:val="left"/>
      <w:pPr>
        <w:tabs>
          <w:tab w:val="left" w:pos="6118"/>
        </w:tabs>
        <w:ind w:left="6540" w:hanging="360"/>
      </w:pPr>
      <w:rPr>
        <w:sz w:val="24"/>
        <w:szCs w:val="24"/>
      </w:rPr>
    </w:lvl>
  </w:abstractNum>
  <w:abstractNum w:abstractNumId="2">
    <w:nsid w:val="70FA0FF2"/>
    <w:multiLevelType w:val="singleLevel"/>
    <w:tmpl w:val="70FA0FF2"/>
    <w:lvl w:ilvl="0" w:tentative="0">
      <w:start w:val="2"/>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5OWU3ZGU2ZDIzNzUzYTZhMTUwOWJjMGM5NWFlYjYifQ=="/>
  </w:docVars>
  <w:rsids>
    <w:rsidRoot w:val="00000000"/>
    <w:rsid w:val="14E04553"/>
    <w:rsid w:val="35335A88"/>
    <w:rsid w:val="371E5110"/>
    <w:rsid w:val="374E3002"/>
    <w:rsid w:val="3CF7388B"/>
    <w:rsid w:val="573568F6"/>
    <w:rsid w:val="59B25935"/>
    <w:rsid w:val="704F6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100" w:after="100" w:line="360" w:lineRule="auto"/>
      <w:jc w:val="both"/>
      <w:outlineLvl w:val="0"/>
    </w:pPr>
    <w:rPr>
      <w:rFonts w:ascii="Times New Roman" w:hAnsi="Times New Roman" w:eastAsia="宋体" w:cs="Times New Roman"/>
      <w:b/>
      <w:color w:val="000000"/>
      <w:kern w:val="44"/>
      <w:sz w:val="32"/>
      <w:szCs w:val="44"/>
      <w:lang w:bidi="ar-SA"/>
    </w:rPr>
  </w:style>
  <w:style w:type="paragraph" w:styleId="3">
    <w:name w:val="heading 2"/>
    <w:next w:val="1"/>
    <w:unhideWhenUsed/>
    <w:qFormat/>
    <w:uiPriority w:val="0"/>
    <w:pPr>
      <w:widowControl w:val="0"/>
      <w:adjustRightInd w:val="0"/>
      <w:spacing w:before="100" w:after="100" w:line="360" w:lineRule="auto"/>
      <w:jc w:val="both"/>
      <w:outlineLvl w:val="1"/>
    </w:pPr>
    <w:rPr>
      <w:rFonts w:ascii="Times New Roman" w:hAnsi="Times New Roman" w:eastAsia="宋体" w:cs="Times New Roman"/>
      <w:b/>
      <w:kern w:val="2"/>
      <w:sz w:val="30"/>
      <w:szCs w:val="32"/>
      <w:lang w:bidi="ar-SA"/>
    </w:rPr>
  </w:style>
  <w:style w:type="paragraph" w:styleId="4">
    <w:name w:val="heading 3"/>
    <w:next w:val="1"/>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6">
    <w:name w:val="Body Text"/>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532</Words>
  <Characters>3768</Characters>
  <Lines>0</Lines>
  <Paragraphs>0</Paragraphs>
  <TotalTime>1</TotalTime>
  <ScaleCrop>false</ScaleCrop>
  <LinksUpToDate>false</LinksUpToDate>
  <CharactersWithSpaces>4232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2024-07-29T23:50:00Z</dcterms:created>
  <dc:creator>16930</dc:creator>
  <cp:lastModifiedBy>W</cp:lastModifiedBy>
  <dcterms:modified xsi:type="dcterms:W3CDTF">2024-08-07T13:05:26Z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17A1230ABF7F48F3BAACE9A8E5956C76_12</vt:lpwstr>
  </property>
</Properties>
</file>