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07"/>
        <w:rPr>
          <w:b/>
          <w:bCs/>
        </w:rPr>
      </w:pPr>
      <w:r>
        <w:rPr>
          <w:b/>
          <w:bCs/>
        </w:rPr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 xml:space="preserve">1 </w:t>
      </w:r>
      <w:r>
        <w:rPr>
          <w:rFonts w:hint="eastAsia"/>
          <w:b/>
          <w:bCs/>
        </w:rPr>
        <w:t>G</w:t>
      </w:r>
      <w:r>
        <w:rPr>
          <w:b/>
          <w:bCs/>
        </w:rPr>
        <w:t>ender-age distribution of participants.</w:t>
      </w:r>
    </w:p>
    <w:tbl>
      <w:tblPr>
        <w:tblStyle w:val="4"/>
        <w:tblpPr w:leftFromText="181" w:rightFromText="181" w:vertAnchor="text" w:horzAnchor="margin" w:tblpY="1"/>
        <w:tblOverlap w:val="never"/>
        <w:tblW w:w="94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135"/>
        <w:gridCol w:w="1700"/>
        <w:gridCol w:w="1784"/>
        <w:gridCol w:w="950"/>
        <w:gridCol w:w="921"/>
        <w:gridCol w:w="9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5" w:type="dxa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ind w:right="-307"/>
              <w:jc w:val="center"/>
            </w:pPr>
            <w:r>
              <w:t>category</w:t>
            </w: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1700" w:type="dxa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  <w:rPr>
                <w:lang w:bidi="ar"/>
              </w:rPr>
            </w:pPr>
            <w:r>
              <w:rPr>
                <w:lang w:bidi="ar"/>
              </w:rPr>
              <w:t>IS patients</w:t>
            </w:r>
          </w:p>
          <w:p>
            <w:pPr>
              <w:ind w:right="-307"/>
            </w:pPr>
            <w:r>
              <w:rPr>
                <w:lang w:bidi="ar"/>
              </w:rPr>
              <w:t>（n=260）</w:t>
            </w:r>
          </w:p>
        </w:tc>
        <w:tc>
          <w:tcPr>
            <w:tcW w:w="1784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  <w:rPr>
                <w:lang w:bidi="ar"/>
              </w:rPr>
            </w:pPr>
            <w:r>
              <w:rPr>
                <w:lang w:bidi="ar"/>
              </w:rPr>
              <w:t>Controls</w:t>
            </w:r>
          </w:p>
          <w:p>
            <w:pPr>
              <w:ind w:right="-307"/>
            </w:pPr>
            <w:r>
              <w:rPr>
                <w:lang w:bidi="ar"/>
              </w:rPr>
              <w:t>(n=260)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χ</w:t>
            </w:r>
            <w:r>
              <w:rPr>
                <w:rStyle w:val="7"/>
                <w:rFonts w:eastAsia="宋体"/>
                <w:b/>
                <w:bCs/>
                <w:lang w:bidi="ar"/>
              </w:rPr>
              <w:t>²</w:t>
            </w:r>
          </w:p>
        </w:tc>
        <w:tc>
          <w:tcPr>
            <w:tcW w:w="92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t</w:t>
            </w:r>
          </w:p>
        </w:tc>
        <w:tc>
          <w:tcPr>
            <w:tcW w:w="958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right="-307"/>
              <w:jc w:val="center"/>
            </w:pPr>
            <w:r>
              <w:t>gender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right="-307"/>
              <w:jc w:val="center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male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132(50.769)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111(42.692)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3.407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0.065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right="-307"/>
              <w:jc w:val="center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female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128(49.231)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149(57.308)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ind w:right="-307"/>
              <w:jc w:val="center"/>
              <w:rPr>
                <w:rStyle w:val="8"/>
                <w:rFonts w:ascii="Times New Roman" w:hAnsi="Times New Roman" w:cs="Times New Roman"/>
                <w:sz w:val="22"/>
                <w:szCs w:val="22"/>
                <w:lang w:bidi="ar"/>
              </w:rPr>
            </w:pPr>
            <w:r>
              <w:rPr>
                <w:rStyle w:val="8"/>
                <w:rFonts w:ascii="Times New Roman" w:hAnsi="Times New Roman" w:cs="Times New Roman"/>
                <w:sz w:val="22"/>
                <w:szCs w:val="22"/>
                <w:lang w:bidi="ar"/>
              </w:rPr>
              <w:t>Age</w:t>
            </w:r>
          </w:p>
          <w:p>
            <w:pPr>
              <w:ind w:right="-307"/>
              <w:jc w:val="center"/>
            </w:pPr>
            <w:r>
              <w:rPr>
                <w:rStyle w:val="8"/>
                <w:rFonts w:ascii="Times New Roman" w:hAnsi="Times New Roman" w:cs="Times New Roman"/>
                <w:sz w:val="22"/>
                <w:szCs w:val="22"/>
                <w:lang w:bidi="ar"/>
              </w:rPr>
              <w:t>(mean</w:t>
            </w:r>
            <w:r>
              <w:rPr>
                <w:rStyle w:val="9"/>
                <w:rFonts w:ascii="Times New Roman" w:hAnsi="Times New Roman" w:eastAsia="宋体" w:cs="Times New Roman"/>
                <w:sz w:val="22"/>
                <w:szCs w:val="22"/>
                <w:lang w:bidi="ar"/>
              </w:rPr>
              <w:t>±</w:t>
            </w:r>
            <w:r>
              <w:rPr>
                <w:rStyle w:val="8"/>
                <w:rFonts w:ascii="Times New Roman" w:hAnsi="Times New Roman" w:cs="Times New Roman"/>
                <w:sz w:val="22"/>
                <w:szCs w:val="22"/>
                <w:lang w:bidi="ar"/>
              </w:rPr>
              <w:t>SD)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65.604±10.829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66.264±6.826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-0.828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rPr>
                <w:lang w:bidi="ar"/>
              </w:rPr>
              <w:t>0.408</w:t>
            </w:r>
          </w:p>
        </w:tc>
      </w:tr>
    </w:tbl>
    <w:p>
      <w:pPr>
        <w:ind w:right="-307"/>
      </w:pPr>
    </w:p>
    <w:p>
      <w:pPr>
        <w:ind w:right="-307"/>
        <w:rPr>
          <w:b/>
          <w:bCs/>
        </w:rPr>
      </w:pPr>
      <w:r>
        <w:rPr>
          <w:b/>
          <w:bCs/>
        </w:rPr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>2 Basic information for IS patients.</w:t>
      </w:r>
    </w:p>
    <w:tbl>
      <w:tblPr>
        <w:tblStyle w:val="5"/>
        <w:tblpPr w:leftFromText="181" w:rightFromText="181" w:vertAnchor="text" w:horzAnchor="margin" w:tblpY="1"/>
        <w:tblOverlap w:val="never"/>
        <w:tblW w:w="8359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3969"/>
        <w:gridCol w:w="2263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category</w:t>
            </w:r>
          </w:p>
        </w:tc>
        <w:tc>
          <w:tcPr>
            <w:tcW w:w="396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26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IS patients (n=260)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8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Disease history</w:t>
            </w:r>
          </w:p>
        </w:tc>
        <w:tc>
          <w:tcPr>
            <w:tcW w:w="3969" w:type="dxa"/>
            <w:tcBorders>
              <w:top w:val="single" w:color="000000" w:sz="8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263" w:type="dxa"/>
            <w:tcBorders>
              <w:top w:val="single" w:color="000000" w:sz="8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hypertension</w:t>
            </w:r>
          </w:p>
        </w:tc>
        <w:tc>
          <w:tcPr>
            <w:tcW w:w="2263" w:type="dxa"/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  <w:lang w:bidi="ar"/>
              </w:rPr>
              <w:t>175(67.308%)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diabetes</w:t>
            </w:r>
          </w:p>
        </w:tc>
        <w:tc>
          <w:tcPr>
            <w:tcW w:w="2263" w:type="dxa"/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  <w:lang w:bidi="ar"/>
              </w:rPr>
              <w:t>62 (23.846%)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Coronary heart disease</w:t>
            </w:r>
          </w:p>
        </w:tc>
        <w:tc>
          <w:tcPr>
            <w:tcW w:w="2263" w:type="dxa"/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  <w:lang w:bidi="ar"/>
              </w:rPr>
              <w:t>7 (2.692%)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NA</w:t>
            </w:r>
          </w:p>
        </w:tc>
        <w:tc>
          <w:tcPr>
            <w:tcW w:w="2263" w:type="dxa"/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  <w:lang w:bidi="ar"/>
              </w:rPr>
            </w:pPr>
            <w:r>
              <w:rPr>
                <w:rFonts w:hint="eastAsia" w:eastAsia="宋体"/>
                <w:kern w:val="0"/>
                <w:sz w:val="20"/>
                <w:lang w:bidi="ar"/>
              </w:rPr>
              <w:t>1（0.385%）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mRS</w:t>
            </w: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263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&lt;3</w:t>
            </w:r>
          </w:p>
        </w:tc>
        <w:tc>
          <w:tcPr>
            <w:tcW w:w="2263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84(32.308%)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hint="eastAsia" w:eastAsia="宋体"/>
                <w:kern w:val="0"/>
                <w:sz w:val="20"/>
              </w:rPr>
              <w:t>≧</w:t>
            </w:r>
            <w:r>
              <w:rPr>
                <w:rFonts w:eastAsia="宋体"/>
                <w:kern w:val="0"/>
                <w:sz w:val="20"/>
              </w:rPr>
              <w:t>3</w:t>
            </w:r>
          </w:p>
        </w:tc>
        <w:tc>
          <w:tcPr>
            <w:tcW w:w="2263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53(20.385%)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NA</w:t>
            </w:r>
          </w:p>
        </w:tc>
        <w:tc>
          <w:tcPr>
            <w:tcW w:w="2263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hint="eastAsia" w:eastAsia="宋体"/>
                <w:kern w:val="0"/>
                <w:sz w:val="20"/>
              </w:rPr>
              <w:t>123（47.308%）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TOAST Type</w:t>
            </w: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  <w:lang w:bidi="ar"/>
              </w:rPr>
            </w:pPr>
          </w:p>
        </w:tc>
        <w:tc>
          <w:tcPr>
            <w:tcW w:w="2263" w:type="dxa"/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  <w:lang w:bidi="ar"/>
              </w:rPr>
              <w:t>Large atherosclerotic type (LAA)</w:t>
            </w:r>
          </w:p>
        </w:tc>
        <w:tc>
          <w:tcPr>
            <w:tcW w:w="2263" w:type="dxa"/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  <w:lang w:bidi="ar"/>
              </w:rPr>
              <w:t>93 (35.769%)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bottom w:val="nil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  <w:lang w:bidi="ar"/>
              </w:rPr>
            </w:pPr>
            <w:r>
              <w:rPr>
                <w:rFonts w:eastAsia="宋体"/>
                <w:kern w:val="0"/>
                <w:sz w:val="20"/>
              </w:rPr>
              <w:t>Arteriole occlusive type SAA)</w:t>
            </w:r>
          </w:p>
        </w:tc>
        <w:tc>
          <w:tcPr>
            <w:tcW w:w="2263" w:type="dxa"/>
            <w:tcBorders>
              <w:bottom w:val="nil"/>
            </w:tcBorders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  <w:lang w:bidi="ar"/>
              </w:rPr>
              <w:t>46(17.692%)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  <w:bottom w:val="single" w:color="000000" w:sz="12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single" w:color="000000" w:sz="12" w:space="0"/>
            </w:tcBorders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Other</w:t>
            </w:r>
          </w:p>
        </w:tc>
        <w:tc>
          <w:tcPr>
            <w:tcW w:w="2263" w:type="dxa"/>
            <w:tcBorders>
              <w:top w:val="nil"/>
              <w:bottom w:val="single" w:color="000000" w:sz="12" w:space="0"/>
            </w:tcBorders>
            <w:vAlign w:val="center"/>
          </w:tcPr>
          <w:p>
            <w:pPr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  <w:lang w:bidi="ar"/>
              </w:rPr>
              <w:t>121 (46.538%)</w:t>
            </w:r>
          </w:p>
        </w:tc>
      </w:tr>
    </w:tbl>
    <w:p>
      <w:pPr>
        <w:ind w:right="-307"/>
      </w:pPr>
    </w:p>
    <w:p>
      <w:pPr>
        <w:ind w:right="-307"/>
        <w:rPr>
          <w:b/>
          <w:bCs/>
        </w:rPr>
      </w:pPr>
      <w:r>
        <w:rPr>
          <w:b/>
          <w:bCs/>
        </w:rPr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 xml:space="preserve">3 Multivariate adjusted HR (95% CIs) for the </w:t>
      </w:r>
      <w:r>
        <w:rPr>
          <w:rFonts w:hint="eastAsia"/>
          <w:b/>
          <w:bCs/>
        </w:rPr>
        <w:t>a</w:t>
      </w:r>
      <w:r>
        <w:rPr>
          <w:b/>
          <w:bCs/>
        </w:rPr>
        <w:t xml:space="preserve">ssociation of lncRNA </w:t>
      </w:r>
      <w:r>
        <w:rPr>
          <w:rFonts w:hint="eastAsia"/>
          <w:b/>
          <w:bCs/>
          <w:i/>
        </w:rPr>
        <w:t>SERPINB9P1</w:t>
      </w:r>
      <w:r>
        <w:rPr>
          <w:rFonts w:hint="eastAsia"/>
          <w:b/>
          <w:bCs/>
        </w:rPr>
        <w:t xml:space="preserve"> e</w:t>
      </w:r>
      <w:r>
        <w:rPr>
          <w:b/>
          <w:bCs/>
        </w:rPr>
        <w:t xml:space="preserve">xpression with IS </w:t>
      </w:r>
      <w:r>
        <w:rPr>
          <w:rFonts w:hint="eastAsia"/>
          <w:b/>
          <w:bCs/>
        </w:rPr>
        <w:t>p</w:t>
      </w:r>
      <w:r>
        <w:rPr>
          <w:b/>
          <w:bCs/>
        </w:rPr>
        <w:t>atients</w:t>
      </w:r>
      <w:r>
        <w:rPr>
          <w:rFonts w:hint="eastAsia"/>
          <w:b/>
          <w:bCs/>
        </w:rPr>
        <w:t xml:space="preserve"> p</w:t>
      </w:r>
      <w:r>
        <w:rPr>
          <w:b/>
          <w:bCs/>
        </w:rPr>
        <w:t>rognosis</w:t>
      </w:r>
      <w:r>
        <w:rPr>
          <w:rFonts w:hint="eastAsia"/>
          <w:b/>
          <w:bCs/>
        </w:rPr>
        <w:t>.</w:t>
      </w:r>
    </w:p>
    <w:tbl>
      <w:tblPr>
        <w:tblStyle w:val="4"/>
        <w:tblpPr w:leftFromText="181" w:rightFromText="181" w:vertAnchor="text" w:tblpY="1"/>
        <w:tblOverlap w:val="never"/>
        <w:tblW w:w="841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268"/>
        <w:gridCol w:w="3402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ind w:right="-307"/>
            </w:pPr>
            <w:r>
              <w:t>Unfavorable</w:t>
            </w:r>
            <w:r>
              <w:br w:type="textWrapping"/>
            </w:r>
            <w:r>
              <w:t xml:space="preserve"> outcome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Favorable outcome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unadjusted model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 xml:space="preserve">HR (95% </w:t>
            </w:r>
            <w:bookmarkStart w:id="0" w:name="_Hlk161948484"/>
            <w:r>
              <w:t>CI</w:t>
            </w:r>
            <w:bookmarkEnd w:id="0"/>
            <w: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等线"/>
                <w:kern w:val="0"/>
              </w:rPr>
            </w:pPr>
            <w:r>
              <w:t>ref.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等线"/>
                <w:kern w:val="0"/>
              </w:rPr>
            </w:pPr>
            <w:r>
              <w:t>0.520 (0.284,0.939)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等线"/>
                <w:kern w:val="0"/>
              </w:rPr>
            </w:pPr>
            <w:r>
              <w:t>0.030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Model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HR (95% 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HR (95% 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等线"/>
                <w:kern w:val="0"/>
              </w:rPr>
            </w:pPr>
            <w:r>
              <w:t>ref.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等线"/>
                <w:kern w:val="0"/>
              </w:rPr>
            </w:pPr>
            <w:r>
              <w:t>0.540(0.298,0.995)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等线"/>
                <w:kern w:val="0"/>
              </w:rPr>
            </w:pPr>
            <w:r>
              <w:t>0.048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Model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Times New Roman"/>
                <w:kern w:val="0"/>
              </w:rPr>
            </w:pPr>
            <w:r>
              <w:t>ref.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Times New Roman"/>
                <w:kern w:val="0"/>
              </w:rPr>
            </w:pPr>
            <w:r>
              <w:t>0.530(0.285,0.974)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right="-307"/>
              <w:rPr>
                <w:rFonts w:eastAsia="Times New Roman"/>
                <w:kern w:val="0"/>
              </w:rPr>
            </w:pPr>
            <w:r>
              <w:t>0.041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ind w:right="-307"/>
            </w:pPr>
            <w:r>
              <w:t>HR (95% CI)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ind w:right="-307"/>
            </w:pPr>
          </w:p>
        </w:tc>
      </w:tr>
    </w:tbl>
    <w:p>
      <w:pPr>
        <w:ind w:right="-307"/>
      </w:pPr>
      <w:r>
        <w:t>Model 1: Adjusting for gender and age; Model 2: Model 1 plus hypertension and diabetes.</w:t>
      </w:r>
    </w:p>
    <w:p>
      <w:pPr>
        <w:shd w:val="clear" w:color="auto" w:fill="FFFFFF"/>
        <w:ind w:right="-307"/>
        <w:rPr>
          <w:b/>
          <w:bCs/>
          <w:spacing w:val="0"/>
          <w:shd w:val="clear" w:color="auto" w:fill="auto"/>
        </w:rPr>
      </w:pPr>
      <w:bookmarkStart w:id="1" w:name="_GoBack"/>
      <w:r>
        <w:rPr>
          <w:rFonts w:eastAsia="等线"/>
          <w:b/>
          <w:bCs/>
        </w:rPr>
        <w:t>Table S4 Primer sequence of this study</w:t>
      </w:r>
    </w:p>
    <w:bookmarkEnd w:id="1"/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Primer name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5’to3’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SERPINB9P1-F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CTGGAGATGACAGCAGCGTA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SERPINB9P1-R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TGGAGTGTAAACGTGGGACA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IL-6-F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TGAACTCCTTCTCCACAAGCG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IL-6-R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color w:val="000000"/>
                <w:kern w:val="0"/>
                <w:sz w:val="20"/>
              </w:rPr>
              <w:t>GAAGGCAGCAGGCAACAC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TNF-F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AGCCCATGTTGTAGCAAACC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TNF-R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ATGAGGTACAGGCCCTCTGA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U6-F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GGAACGATACAGAGAAGATTAGC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U6-R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TGGAACGCTTCACGAATTTGCG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GAPDH-F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GGTGGTCTCCTCTGACTTCAACA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GAPDH-R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hd w:val="clear" w:color="auto" w:fill="FFFFFF"/>
              <w:ind w:right="-307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GTTGCTGTAGCCAAATTCGTTGT</w:t>
            </w:r>
          </w:p>
        </w:tc>
      </w:tr>
    </w:tbl>
    <w:p>
      <w:pPr>
        <w:ind w:right="-307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right="-319"/>
      </w:pPr>
      <w:r>
        <w:separator/>
      </w:r>
    </w:p>
  </w:endnote>
  <w:endnote w:type="continuationSeparator" w:id="1">
    <w:p>
      <w:pPr>
        <w:ind w:right="-31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30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30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30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right="-319"/>
      </w:pPr>
      <w:r>
        <w:separator/>
      </w:r>
    </w:p>
  </w:footnote>
  <w:footnote w:type="continuationSeparator" w:id="1">
    <w:p>
      <w:pPr>
        <w:ind w:right="-31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30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30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30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yNTM2YTgzYTY4MDE1OGY0Y2FjYTA5MGVmN2E4ZWUifQ=="/>
  </w:docVars>
  <w:rsids>
    <w:rsidRoot w:val="002E761D"/>
    <w:rsid w:val="00261F75"/>
    <w:rsid w:val="002E761D"/>
    <w:rsid w:val="004B6782"/>
    <w:rsid w:val="006805B7"/>
    <w:rsid w:val="006C1199"/>
    <w:rsid w:val="00B01BEE"/>
    <w:rsid w:val="00D64EDD"/>
    <w:rsid w:val="00E0412E"/>
    <w:rsid w:val="1B326AE6"/>
    <w:rsid w:val="58D5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ind w:right="-319" w:rightChars="-141"/>
      <w:jc w:val="both"/>
    </w:pPr>
    <w:rPr>
      <w:rFonts w:ascii="Times New Roman" w:hAnsi="Times New Roman" w:cs="Times New Roman" w:eastAsiaTheme="minorEastAsia"/>
      <w:spacing w:val="8"/>
      <w:kern w:val="2"/>
      <w:sz w:val="21"/>
      <w:szCs w:val="21"/>
      <w:shd w:val="clear" w:color="auto" w:fill="FFFFFF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11"/>
    <w:basedOn w:val="6"/>
    <w:autoRedefine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41"/>
    <w:basedOn w:val="6"/>
    <w:autoRedefine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uiPriority w:val="99"/>
    <w:rPr>
      <w:rFonts w:ascii="Times New Roman" w:hAnsi="Times New Roman" w:cs="Times New Roman"/>
      <w:spacing w:val="8"/>
      <w:sz w:val="18"/>
      <w:szCs w:val="18"/>
    </w:rPr>
  </w:style>
  <w:style w:type="character" w:customStyle="1" w:styleId="11">
    <w:name w:val="页脚 字符"/>
    <w:basedOn w:val="6"/>
    <w:link w:val="2"/>
    <w:uiPriority w:val="99"/>
    <w:rPr>
      <w:rFonts w:ascii="Times New Roman" w:hAnsi="Times New Roman" w:cs="Times New Roman"/>
      <w:spacing w:val="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1244</Characters>
  <Lines>10</Lines>
  <Paragraphs>2</Paragraphs>
  <TotalTime>3</TotalTime>
  <ScaleCrop>false</ScaleCrop>
  <LinksUpToDate>false</LinksUpToDate>
  <CharactersWithSpaces>1460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2024-05-20T13:24:00Z</dcterms:created>
  <dc:creator>妙 吕</dc:creator>
  <cp:lastModifiedBy>梦缘1405472410</cp:lastModifiedBy>
  <dcterms:modified xsi:type="dcterms:W3CDTF">2024-05-20T14:11:24Z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762A90607A8445EC96F07EC5B731B357_12</vt:lpwstr>
  </property>
</Properties>
</file>