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107897" w14:textId="02FE848D" w:rsidR="00F97555" w:rsidRPr="00F97555" w:rsidRDefault="00F0091A" w:rsidP="00F0091A">
      <w:pPr>
        <w:spacing w:line="480" w:lineRule="auto"/>
        <w:jc w:val="center"/>
        <w:rPr>
          <w:rFonts w:ascii="Times New Roman" w:eastAsia="等线" w:hAnsi="Times New Roman" w:cs="Times New Roman" w:hint="eastAsia"/>
          <w:b/>
          <w:bCs/>
          <w:sz w:val="24"/>
          <w:szCs w:val="24"/>
        </w:rPr>
      </w:pPr>
      <w:r w:rsidRPr="00F0091A">
        <w:rPr>
          <w:rFonts w:ascii="Times New Roman" w:eastAsia="等线" w:hAnsi="Times New Roman" w:cs="Times New Roman" w:hint="eastAsia"/>
          <w:b/>
          <w:bCs/>
          <w:sz w:val="24"/>
          <w:szCs w:val="24"/>
        </w:rPr>
        <w:drawing>
          <wp:inline distT="0" distB="0" distL="0" distR="0" wp14:anchorId="7AA0B6FE" wp14:editId="552B9881">
            <wp:extent cx="6479540" cy="2816860"/>
            <wp:effectExtent l="0" t="0" r="0" b="2540"/>
            <wp:docPr id="154665995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281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2C843" w14:textId="663AFDC8" w:rsidR="009C48A9" w:rsidRPr="009C48A9" w:rsidRDefault="009C48A9" w:rsidP="00355E52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9C48A9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Supplemental Figure 1. 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D</w:t>
      </w:r>
      <w:r w:rsidRPr="009C48A9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isease severity 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increases in </w:t>
      </w:r>
      <w:r w:rsidRPr="009C48A9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obese psoriasis patients</w:t>
      </w:r>
      <w:r w:rsidRPr="009C48A9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Pr="00932A8B">
        <w:rPr>
          <w:rFonts w:ascii="Times New Roman" w:eastAsia="等线" w:hAnsi="Times New Roman" w:cs="Times New Roman"/>
          <w:sz w:val="24"/>
          <w:szCs w:val="24"/>
        </w:rPr>
        <w:t>(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A</w:t>
      </w:r>
      <w:r w:rsidRPr="00932A8B">
        <w:rPr>
          <w:rFonts w:ascii="Times New Roman" w:eastAsia="等线" w:hAnsi="Times New Roman" w:cs="Times New Roman"/>
          <w:sz w:val="24"/>
          <w:szCs w:val="24"/>
        </w:rPr>
        <w:t>)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Pr="00932A8B">
        <w:rPr>
          <w:rFonts w:ascii="Times New Roman" w:eastAsia="等线" w:hAnsi="Times New Roman" w:cs="Times New Roman"/>
          <w:sz w:val="24"/>
          <w:szCs w:val="24"/>
        </w:rPr>
        <w:t>Summarized bar graphs of clinical severity. (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B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) Correlation of clinical severity against BMI (n = 78). </w:t>
      </w:r>
      <w:bookmarkStart w:id="0" w:name="_Hlk172923418"/>
      <w:r w:rsidRPr="00932A8B">
        <w:rPr>
          <w:rFonts w:ascii="Times New Roman" w:eastAsia="等线" w:hAnsi="Times New Roman" w:cs="Times New Roman"/>
          <w:sz w:val="24"/>
          <w:szCs w:val="24"/>
        </w:rPr>
        <w:t>(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C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) Representative images of H&amp;E staining and immunohistochemistry staining for </w:t>
      </w:r>
      <w:r>
        <w:rPr>
          <w:rFonts w:ascii="Times New Roman" w:eastAsia="等线" w:hAnsi="Times New Roman" w:cs="Times New Roman" w:hint="eastAsia"/>
          <w:sz w:val="24"/>
          <w:szCs w:val="24"/>
        </w:rPr>
        <w:t>CD66b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in skin lesions of psoriasis patients (scale bar = 200 </w:t>
      </w:r>
      <w:proofErr w:type="spellStart"/>
      <w:r w:rsidRPr="00932A8B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Pr="00932A8B">
        <w:rPr>
          <w:rFonts w:ascii="Times New Roman" w:eastAsia="等线" w:hAnsi="Times New Roman" w:cs="Times New Roman"/>
          <w:sz w:val="24"/>
          <w:szCs w:val="24"/>
        </w:rPr>
        <w:t>).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bookmarkEnd w:id="0"/>
      <w:r w:rsidRPr="00BC1D83">
        <w:rPr>
          <w:rFonts w:ascii="Times New Roman" w:eastAsia="等线" w:hAnsi="Times New Roman" w:cs="Times New Roman"/>
          <w:sz w:val="24"/>
          <w:szCs w:val="24"/>
        </w:rPr>
        <w:t>Error bars show means ± SEM.</w:t>
      </w:r>
      <w:r w:rsidRPr="00462B08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BC1D83">
        <w:rPr>
          <w:rFonts w:ascii="Times New Roman" w:eastAsia="等线" w:hAnsi="Times New Roman" w:cs="Times New Roman"/>
          <w:sz w:val="24"/>
          <w:szCs w:val="24"/>
        </w:rPr>
        <w:t>ns, not significant. *</w:t>
      </w:r>
      <w:r w:rsidRPr="00BC1D83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BC1D83">
        <w:rPr>
          <w:rFonts w:ascii="Times New Roman" w:eastAsia="等线" w:hAnsi="Times New Roman" w:cs="Times New Roman"/>
          <w:sz w:val="24"/>
          <w:szCs w:val="24"/>
        </w:rPr>
        <w:t xml:space="preserve"> &lt; .05, **</w:t>
      </w:r>
      <w:r w:rsidRPr="00BC1D83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BC1D83">
        <w:rPr>
          <w:rFonts w:ascii="Times New Roman" w:eastAsia="等线" w:hAnsi="Times New Roman" w:cs="Times New Roman"/>
          <w:sz w:val="24"/>
          <w:szCs w:val="24"/>
        </w:rPr>
        <w:t xml:space="preserve"> &lt; .01, ***</w:t>
      </w:r>
      <w:r w:rsidRPr="00BC1D83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BC1D83">
        <w:rPr>
          <w:rFonts w:ascii="Times New Roman" w:eastAsia="等线" w:hAnsi="Times New Roman" w:cs="Times New Roman"/>
          <w:sz w:val="24"/>
          <w:szCs w:val="24"/>
        </w:rPr>
        <w:t xml:space="preserve"> &lt; .001.</w:t>
      </w:r>
    </w:p>
    <w:p w14:paraId="4F2FB1F3" w14:textId="77777777" w:rsidR="00F97555" w:rsidRDefault="00F97555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14:paraId="171A2C97" w14:textId="72792D89" w:rsidR="00F97555" w:rsidRPr="00F97555" w:rsidRDefault="00F0091A" w:rsidP="00F0091A">
      <w:pPr>
        <w:spacing w:line="480" w:lineRule="auto"/>
        <w:jc w:val="center"/>
        <w:rPr>
          <w:rFonts w:ascii="Times New Roman" w:eastAsia="等线" w:hAnsi="Times New Roman" w:cs="Times New Roman" w:hint="eastAsia"/>
          <w:b/>
          <w:bCs/>
          <w:sz w:val="24"/>
          <w:szCs w:val="24"/>
        </w:rPr>
      </w:pPr>
      <w:r w:rsidRPr="00F0091A">
        <w:rPr>
          <w:rFonts w:ascii="Times New Roman" w:eastAsia="等线" w:hAnsi="Times New Roman" w:cs="Times New Roman" w:hint="eastAsia"/>
          <w:b/>
          <w:bCs/>
          <w:sz w:val="24"/>
          <w:szCs w:val="24"/>
        </w:rPr>
        <w:lastRenderedPageBreak/>
        <w:drawing>
          <wp:inline distT="0" distB="0" distL="0" distR="0" wp14:anchorId="3F802D0F" wp14:editId="7C7E1FD1">
            <wp:extent cx="5094605" cy="9611360"/>
            <wp:effectExtent l="0" t="0" r="0" b="8890"/>
            <wp:docPr id="137349882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961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E3622" w14:textId="08FCA3F8" w:rsidR="001141F2" w:rsidRPr="007B145F" w:rsidRDefault="001141F2" w:rsidP="00355E52">
      <w:pPr>
        <w:spacing w:line="48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lastRenderedPageBreak/>
        <w:t xml:space="preserve">Supplemental Figure </w:t>
      </w:r>
      <w:r w:rsidR="009C48A9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2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. HFD-induced obesity exacerbates imiquimod-mediated psoriasiform dermatitis in mice. </w:t>
      </w:r>
      <w:r w:rsidRPr="00932A8B">
        <w:rPr>
          <w:rFonts w:ascii="Times New Roman" w:eastAsia="等线" w:hAnsi="Times New Roman" w:cs="Times New Roman"/>
          <w:sz w:val="24"/>
          <w:szCs w:val="24"/>
        </w:rPr>
        <w:t>(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A</w:t>
      </w:r>
      <w:r w:rsidRPr="00932A8B">
        <w:rPr>
          <w:rFonts w:ascii="Times New Roman" w:eastAsia="等线" w:hAnsi="Times New Roman" w:cs="Times New Roman"/>
          <w:sz w:val="24"/>
          <w:szCs w:val="24"/>
        </w:rPr>
        <w:t>) Changes of mouse weight. (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B</w:t>
      </w:r>
      <w:r w:rsidRPr="00932A8B">
        <w:rPr>
          <w:rFonts w:ascii="Times New Roman" w:eastAsia="等线" w:hAnsi="Times New Roman" w:cs="Times New Roman"/>
          <w:sz w:val="24"/>
          <w:szCs w:val="24"/>
        </w:rPr>
        <w:t>)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Pr="00932A8B">
        <w:rPr>
          <w:rFonts w:ascii="Times New Roman" w:eastAsia="等线" w:hAnsi="Times New Roman" w:cs="Times New Roman"/>
          <w:sz w:val="24"/>
          <w:szCs w:val="24"/>
        </w:rPr>
        <w:t>Schematic overview of the experimental protocol. (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C</w:t>
      </w:r>
      <w:r w:rsidRPr="00932A8B">
        <w:rPr>
          <w:rFonts w:ascii="Times New Roman" w:eastAsia="等线" w:hAnsi="Times New Roman" w:cs="Times New Roman"/>
          <w:sz w:val="24"/>
          <w:szCs w:val="24"/>
        </w:rPr>
        <w:t>) Changes of clinical severity. (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D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) Representative clinical photographs. </w:t>
      </w:r>
      <w:bookmarkStart w:id="1" w:name="_Hlk172921506"/>
      <w:r w:rsidRPr="00932A8B">
        <w:rPr>
          <w:rFonts w:ascii="Times New Roman" w:eastAsia="等线" w:hAnsi="Times New Roman" w:cs="Times New Roman"/>
          <w:sz w:val="24"/>
          <w:szCs w:val="24"/>
        </w:rPr>
        <w:t>(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E</w:t>
      </w:r>
      <w:r w:rsidRPr="00932A8B">
        <w:rPr>
          <w:rFonts w:ascii="Times New Roman" w:eastAsia="等线" w:hAnsi="Times New Roman" w:cs="Times New Roman"/>
          <w:sz w:val="24"/>
          <w:szCs w:val="24"/>
        </w:rPr>
        <w:t>) Representative images of H&amp;E staining and immunohistochemistry staining and summarized bar graphs of epidermal thickness and mean IOD of Ki67</w:t>
      </w:r>
      <w:r w:rsidR="00397896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and Ly6G in mouse skin (scale bar = 100 </w:t>
      </w:r>
      <w:proofErr w:type="spellStart"/>
      <w:r w:rsidRPr="00932A8B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Pr="00932A8B">
        <w:rPr>
          <w:rFonts w:ascii="Times New Roman" w:eastAsia="等线" w:hAnsi="Times New Roman" w:cs="Times New Roman"/>
          <w:sz w:val="24"/>
          <w:szCs w:val="24"/>
        </w:rPr>
        <w:t xml:space="preserve">). </w:t>
      </w:r>
      <w:bookmarkEnd w:id="1"/>
      <w:r w:rsidRPr="00932A8B">
        <w:rPr>
          <w:rFonts w:ascii="Times New Roman" w:eastAsia="等线" w:hAnsi="Times New Roman" w:cs="Times New Roman"/>
          <w:sz w:val="24"/>
          <w:szCs w:val="24"/>
        </w:rPr>
        <w:t>(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F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) Flow cytometric analysis of frequencies of </w:t>
      </w:r>
      <w:proofErr w:type="spellStart"/>
      <w:r w:rsidRPr="00932A8B">
        <w:rPr>
          <w:rFonts w:ascii="Times New Roman" w:eastAsia="等线" w:hAnsi="Times New Roman" w:cs="Times New Roman"/>
          <w:sz w:val="24"/>
          <w:szCs w:val="24"/>
        </w:rPr>
        <w:t>IFNγ</w:t>
      </w:r>
      <w:proofErr w:type="spellEnd"/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>, IL-4</w:t>
      </w:r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>, IL-13</w:t>
      </w:r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>, IL-17A</w:t>
      </w:r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>, IL-17F</w:t>
      </w:r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>, IL-22</w:t>
      </w:r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, </w:t>
      </w:r>
      <w:proofErr w:type="spellStart"/>
      <w:r w:rsidRPr="00932A8B">
        <w:rPr>
          <w:rFonts w:ascii="Times New Roman" w:eastAsia="等线" w:hAnsi="Times New Roman" w:cs="Times New Roman"/>
          <w:sz w:val="24"/>
          <w:szCs w:val="24"/>
        </w:rPr>
        <w:t>RORγt</w:t>
      </w:r>
      <w:proofErr w:type="spellEnd"/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>, Foxp3</w:t>
      </w:r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T cells gated on CD45</w:t>
      </w:r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>CD3</w:t>
      </w:r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T cells from </w:t>
      </w:r>
      <w:r w:rsidR="00397896">
        <w:rPr>
          <w:rFonts w:ascii="Times New Roman" w:eastAsia="等线" w:hAnsi="Times New Roman" w:cs="Times New Roman" w:hint="eastAsia"/>
          <w:sz w:val="24"/>
          <w:szCs w:val="24"/>
        </w:rPr>
        <w:t xml:space="preserve">mouse </w:t>
      </w:r>
      <w:proofErr w:type="spellStart"/>
      <w:r w:rsidRPr="00932A8B">
        <w:rPr>
          <w:rFonts w:ascii="Times New Roman" w:eastAsia="等线" w:hAnsi="Times New Roman" w:cs="Times New Roman"/>
          <w:sz w:val="24"/>
          <w:szCs w:val="24"/>
        </w:rPr>
        <w:t>dLN</w:t>
      </w:r>
      <w:proofErr w:type="spellEnd"/>
      <w:r w:rsidRPr="00932A8B">
        <w:rPr>
          <w:rFonts w:ascii="Times New Roman" w:eastAsia="等线" w:hAnsi="Times New Roman" w:cs="Times New Roman"/>
          <w:sz w:val="24"/>
          <w:szCs w:val="24"/>
        </w:rPr>
        <w:t xml:space="preserve">. </w:t>
      </w:r>
      <w:r w:rsidR="00397896" w:rsidRPr="00F65309">
        <w:rPr>
          <w:rFonts w:ascii="Times New Roman" w:eastAsia="等线" w:hAnsi="Times New Roman" w:cs="Times New Roman"/>
          <w:sz w:val="24"/>
          <w:szCs w:val="24"/>
        </w:rPr>
        <w:t>(</w:t>
      </w:r>
      <w:r w:rsidR="00397896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G</w:t>
      </w:r>
      <w:r w:rsidR="00397896" w:rsidRPr="00F65309">
        <w:rPr>
          <w:rFonts w:ascii="Times New Roman" w:eastAsia="等线" w:hAnsi="Times New Roman" w:cs="Times New Roman"/>
          <w:sz w:val="24"/>
          <w:szCs w:val="24"/>
        </w:rPr>
        <w:t>)</w:t>
      </w:r>
      <w:r w:rsidR="00397896" w:rsidRPr="00BC1D83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397896" w:rsidRPr="00932A8B">
        <w:rPr>
          <w:rFonts w:ascii="Times New Roman" w:eastAsia="等线" w:hAnsi="Times New Roman" w:cs="Times New Roman"/>
          <w:sz w:val="24"/>
          <w:szCs w:val="24"/>
        </w:rPr>
        <w:t>Representative flow cytometric plots and summarized bar graph of the frequencies and numbers of CD11b</w:t>
      </w:r>
      <w:r w:rsidR="00397896"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="00397896" w:rsidRPr="00932A8B">
        <w:rPr>
          <w:rFonts w:ascii="Times New Roman" w:eastAsia="等线" w:hAnsi="Times New Roman" w:cs="Times New Roman"/>
          <w:sz w:val="24"/>
          <w:szCs w:val="24"/>
        </w:rPr>
        <w:t>Ly6G</w:t>
      </w:r>
      <w:r w:rsidR="00397896"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="00397896" w:rsidRPr="00932A8B">
        <w:rPr>
          <w:rFonts w:ascii="Times New Roman" w:eastAsia="等线" w:hAnsi="Times New Roman" w:cs="Times New Roman"/>
          <w:sz w:val="24"/>
          <w:szCs w:val="24"/>
        </w:rPr>
        <w:t xml:space="preserve"> neutrophils gated on CD45</w:t>
      </w:r>
      <w:r w:rsidR="00397896"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="00397896" w:rsidRPr="00932A8B">
        <w:rPr>
          <w:rFonts w:ascii="Times New Roman" w:eastAsia="等线" w:hAnsi="Times New Roman" w:cs="Times New Roman"/>
          <w:sz w:val="24"/>
          <w:szCs w:val="24"/>
        </w:rPr>
        <w:t xml:space="preserve"> population from </w:t>
      </w:r>
      <w:r w:rsidR="00397896">
        <w:rPr>
          <w:rFonts w:ascii="Times New Roman" w:eastAsia="等线" w:hAnsi="Times New Roman" w:cs="Times New Roman" w:hint="eastAsia"/>
          <w:sz w:val="24"/>
          <w:szCs w:val="24"/>
        </w:rPr>
        <w:t xml:space="preserve">mouse </w:t>
      </w:r>
      <w:proofErr w:type="spellStart"/>
      <w:r w:rsidR="00397896" w:rsidRPr="00932A8B">
        <w:rPr>
          <w:rFonts w:ascii="Times New Roman" w:eastAsia="等线" w:hAnsi="Times New Roman" w:cs="Times New Roman"/>
          <w:sz w:val="24"/>
          <w:szCs w:val="24"/>
        </w:rPr>
        <w:t>dLN</w:t>
      </w:r>
      <w:proofErr w:type="spellEnd"/>
      <w:r w:rsidR="00397896" w:rsidRPr="00932A8B">
        <w:rPr>
          <w:rFonts w:ascii="Times New Roman" w:eastAsia="等线" w:hAnsi="Times New Roman" w:cs="Times New Roman"/>
          <w:sz w:val="24"/>
          <w:szCs w:val="24"/>
        </w:rPr>
        <w:t>.</w:t>
      </w:r>
      <w:r w:rsidR="00397896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932A8B">
        <w:rPr>
          <w:rFonts w:ascii="Times New Roman" w:eastAsia="等线" w:hAnsi="Times New Roman" w:cs="Times New Roman"/>
          <w:sz w:val="24"/>
          <w:szCs w:val="24"/>
        </w:rPr>
        <w:t>Results are from 3 independent experiments with 3 to 5 mice per group. Error bars show means ± SEM. ns, not significant. *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&lt; .05, **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&lt; .01, ***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&lt; .001.</w:t>
      </w:r>
    </w:p>
    <w:p w14:paraId="1B2C6C55" w14:textId="77777777" w:rsidR="00F97555" w:rsidRDefault="00F97555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14:paraId="485BD101" w14:textId="102A07FC" w:rsidR="00F97555" w:rsidRPr="00F97555" w:rsidRDefault="00F0091A" w:rsidP="00F0091A">
      <w:pPr>
        <w:spacing w:line="480" w:lineRule="auto"/>
        <w:jc w:val="center"/>
        <w:rPr>
          <w:rFonts w:ascii="Times New Roman" w:eastAsia="等线" w:hAnsi="Times New Roman" w:cs="Times New Roman" w:hint="eastAsia"/>
          <w:b/>
          <w:bCs/>
          <w:sz w:val="24"/>
          <w:szCs w:val="24"/>
        </w:rPr>
      </w:pPr>
      <w:r w:rsidRPr="00F0091A">
        <w:rPr>
          <w:rFonts w:ascii="Times New Roman" w:eastAsia="等线" w:hAnsi="Times New Roman" w:cs="Times New Roman" w:hint="eastAsia"/>
          <w:b/>
          <w:bCs/>
          <w:sz w:val="24"/>
          <w:szCs w:val="24"/>
        </w:rPr>
        <w:lastRenderedPageBreak/>
        <w:drawing>
          <wp:inline distT="0" distB="0" distL="0" distR="0" wp14:anchorId="13F7695C" wp14:editId="7052F82B">
            <wp:extent cx="6479540" cy="5297170"/>
            <wp:effectExtent l="0" t="0" r="0" b="0"/>
            <wp:docPr id="174163067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529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0DA36" w14:textId="5F2B14F1" w:rsidR="001141F2" w:rsidRPr="00932A8B" w:rsidRDefault="001141F2" w:rsidP="00355E52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Supplemental Figure </w:t>
      </w:r>
      <w:r w:rsidR="00397896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3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. </w:t>
      </w:r>
      <w:r w:rsidR="00E94904">
        <w:rPr>
          <w:rFonts w:ascii="Times New Roman" w:eastAsia="等线" w:hAnsi="Times New Roman" w:cs="Times New Roman"/>
          <w:b/>
          <w:bCs/>
          <w:sz w:val="24"/>
          <w:szCs w:val="24"/>
        </w:rPr>
        <w:t>C</w:t>
      </w:r>
      <w:r w:rsidR="00E9490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hanges of neutrophil </w:t>
      </w:r>
      <w:r w:rsidR="00E94904" w:rsidRPr="00E9490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recruitment</w:t>
      </w:r>
      <w:r w:rsidR="00E9490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in skin and </w:t>
      </w:r>
      <w:proofErr w:type="spellStart"/>
      <w:r w:rsidR="00E9490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dLN</w:t>
      </w:r>
      <w:proofErr w:type="spellEnd"/>
      <w:r w:rsidR="00E9490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of obese </w:t>
      </w:r>
      <w:r w:rsidR="00E94904" w:rsidRPr="00E94904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psoriasis-like mice </w:t>
      </w:r>
      <w:r w:rsidR="00E9490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with 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NETs </w:t>
      </w:r>
      <w:r w:rsidR="00E9490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inhibition. </w:t>
      </w:r>
      <w:r w:rsidR="00E94904" w:rsidRPr="00932A8B">
        <w:rPr>
          <w:rFonts w:ascii="Times New Roman" w:eastAsia="等线" w:hAnsi="Times New Roman" w:cs="Times New Roman"/>
          <w:sz w:val="24"/>
          <w:szCs w:val="24"/>
        </w:rPr>
        <w:t>(</w:t>
      </w:r>
      <w:r w:rsidR="00E9490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A</w:t>
      </w:r>
      <w:r w:rsidR="00E94904" w:rsidRPr="00932A8B">
        <w:rPr>
          <w:rFonts w:ascii="Times New Roman" w:eastAsia="等线" w:hAnsi="Times New Roman" w:cs="Times New Roman"/>
          <w:sz w:val="24"/>
          <w:szCs w:val="24"/>
        </w:rPr>
        <w:t xml:space="preserve">) Representative images of immunohistochemistry staining and summarized bar graphs of mean IOD of Ly6G in mouse skin (scale bar = 100 </w:t>
      </w:r>
      <w:proofErr w:type="spellStart"/>
      <w:r w:rsidR="00E94904" w:rsidRPr="00932A8B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="00E94904" w:rsidRPr="00932A8B">
        <w:rPr>
          <w:rFonts w:ascii="Times New Roman" w:eastAsia="等线" w:hAnsi="Times New Roman" w:cs="Times New Roman"/>
          <w:sz w:val="24"/>
          <w:szCs w:val="24"/>
        </w:rPr>
        <w:t xml:space="preserve">). </w:t>
      </w:r>
      <w:bookmarkStart w:id="2" w:name="_Hlk172917005"/>
      <w:r w:rsidR="00E94904" w:rsidRPr="00E94904">
        <w:rPr>
          <w:rFonts w:ascii="Times New Roman" w:eastAsia="等线" w:hAnsi="Times New Roman" w:cs="Times New Roman"/>
          <w:sz w:val="24"/>
          <w:szCs w:val="24"/>
        </w:rPr>
        <w:t>(</w:t>
      </w:r>
      <w:r w:rsidR="00E9490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B</w:t>
      </w:r>
      <w:r w:rsidR="00E94904" w:rsidRPr="00E94904">
        <w:rPr>
          <w:rFonts w:ascii="Times New Roman" w:eastAsia="等线" w:hAnsi="Times New Roman" w:cs="Times New Roman"/>
          <w:sz w:val="24"/>
          <w:szCs w:val="24"/>
        </w:rPr>
        <w:t>) Representative flow cytometric plots and summarized bar graph of the frequencies and numbers of CD</w:t>
      </w:r>
      <w:r w:rsidR="00E94904" w:rsidRPr="00E94904">
        <w:rPr>
          <w:rFonts w:ascii="Times New Roman" w:eastAsia="等线" w:hAnsi="Times New Roman" w:cs="Times New Roman" w:hint="eastAsia"/>
          <w:sz w:val="24"/>
          <w:szCs w:val="24"/>
        </w:rPr>
        <w:t>45</w:t>
      </w:r>
      <w:r w:rsidR="00E94904" w:rsidRPr="00E94904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="00E94904" w:rsidRPr="00E94904">
        <w:rPr>
          <w:rFonts w:ascii="Times New Roman" w:eastAsia="等线" w:hAnsi="Times New Roman" w:cs="Times New Roman" w:hint="eastAsia"/>
          <w:sz w:val="24"/>
          <w:szCs w:val="24"/>
        </w:rPr>
        <w:t xml:space="preserve"> leukocytes</w:t>
      </w:r>
      <w:r w:rsidR="00E94904" w:rsidRPr="00E94904">
        <w:rPr>
          <w:rFonts w:ascii="Times New Roman" w:eastAsia="等线" w:hAnsi="Times New Roman" w:cs="Times New Roman"/>
          <w:sz w:val="24"/>
          <w:szCs w:val="24"/>
        </w:rPr>
        <w:t xml:space="preserve"> gated on </w:t>
      </w:r>
      <w:r w:rsidR="00E94904" w:rsidRPr="00E94904">
        <w:rPr>
          <w:rFonts w:ascii="Times New Roman" w:eastAsia="等线" w:hAnsi="Times New Roman" w:cs="Times New Roman" w:hint="eastAsia"/>
          <w:sz w:val="24"/>
          <w:szCs w:val="24"/>
        </w:rPr>
        <w:t>live cells</w:t>
      </w:r>
      <w:r w:rsidR="00E94904" w:rsidRPr="00E94904">
        <w:rPr>
          <w:rFonts w:ascii="Times New Roman" w:eastAsia="等线" w:hAnsi="Times New Roman" w:cs="Times New Roman"/>
          <w:sz w:val="24"/>
          <w:szCs w:val="24"/>
        </w:rPr>
        <w:t xml:space="preserve"> from mouse skin. </w:t>
      </w:r>
      <w:bookmarkEnd w:id="2"/>
      <w:r w:rsidRPr="00932A8B">
        <w:rPr>
          <w:rFonts w:ascii="Times New Roman" w:eastAsia="等线" w:hAnsi="Times New Roman" w:cs="Times New Roman"/>
          <w:sz w:val="24"/>
          <w:szCs w:val="24"/>
        </w:rPr>
        <w:t>(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C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) </w:t>
      </w:r>
      <w:bookmarkStart w:id="3" w:name="_Hlk157822800"/>
      <w:r w:rsidRPr="00932A8B">
        <w:rPr>
          <w:rFonts w:ascii="Times New Roman" w:eastAsia="等线" w:hAnsi="Times New Roman" w:cs="Times New Roman"/>
          <w:sz w:val="24"/>
          <w:szCs w:val="24"/>
        </w:rPr>
        <w:t>Representative flow cytometric plots and summarized bar graph of the frequencies and numbers of CD11b</w:t>
      </w:r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>Ly6G</w:t>
      </w:r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neutrophils gated on CD45</w:t>
      </w:r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population from </w:t>
      </w:r>
      <w:r w:rsidR="00E94904">
        <w:rPr>
          <w:rFonts w:ascii="Times New Roman" w:eastAsia="等线" w:hAnsi="Times New Roman" w:cs="Times New Roman" w:hint="eastAsia"/>
          <w:sz w:val="24"/>
          <w:szCs w:val="24"/>
        </w:rPr>
        <w:t xml:space="preserve">mouse </w:t>
      </w:r>
      <w:proofErr w:type="spellStart"/>
      <w:r w:rsidRPr="00932A8B">
        <w:rPr>
          <w:rFonts w:ascii="Times New Roman" w:eastAsia="等线" w:hAnsi="Times New Roman" w:cs="Times New Roman"/>
          <w:sz w:val="24"/>
          <w:szCs w:val="24"/>
        </w:rPr>
        <w:t>dLN</w:t>
      </w:r>
      <w:proofErr w:type="spellEnd"/>
      <w:r w:rsidRPr="00932A8B">
        <w:rPr>
          <w:rFonts w:ascii="Times New Roman" w:eastAsia="等线" w:hAnsi="Times New Roman" w:cs="Times New Roman"/>
          <w:sz w:val="24"/>
          <w:szCs w:val="24"/>
        </w:rPr>
        <w:t>.</w:t>
      </w:r>
      <w:bookmarkEnd w:id="3"/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Results are from 3 independent experiments with 3 to 5 mice per group. Error bars show means ± SEM. ns, not significant. *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&lt; .05, **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&lt; .01, ***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&lt; .001.</w:t>
      </w:r>
    </w:p>
    <w:p w14:paraId="5076C130" w14:textId="77777777" w:rsidR="00F97555" w:rsidRDefault="00F97555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14:paraId="45FB6786" w14:textId="3A5B00A1" w:rsidR="00F97555" w:rsidRPr="00F97555" w:rsidRDefault="00F0091A" w:rsidP="00F0091A">
      <w:pPr>
        <w:spacing w:line="480" w:lineRule="auto"/>
        <w:jc w:val="center"/>
        <w:rPr>
          <w:rFonts w:ascii="Times New Roman" w:eastAsia="等线" w:hAnsi="Times New Roman" w:cs="Times New Roman" w:hint="eastAsia"/>
          <w:b/>
          <w:bCs/>
          <w:sz w:val="24"/>
          <w:szCs w:val="24"/>
        </w:rPr>
      </w:pPr>
      <w:r w:rsidRPr="00F0091A">
        <w:rPr>
          <w:rFonts w:ascii="Times New Roman" w:eastAsia="等线" w:hAnsi="Times New Roman" w:cs="Times New Roman" w:hint="eastAsia"/>
          <w:b/>
          <w:bCs/>
          <w:sz w:val="24"/>
          <w:szCs w:val="24"/>
        </w:rPr>
        <w:lastRenderedPageBreak/>
        <w:drawing>
          <wp:inline distT="0" distB="0" distL="0" distR="0" wp14:anchorId="06DB14F5" wp14:editId="1832CD20">
            <wp:extent cx="6479540" cy="4504055"/>
            <wp:effectExtent l="0" t="0" r="0" b="0"/>
            <wp:docPr id="63560651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450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F0B07" w14:textId="5CBCC24C" w:rsidR="00E94904" w:rsidRPr="007B145F" w:rsidRDefault="00E94904" w:rsidP="00E94904">
      <w:pPr>
        <w:spacing w:line="48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Supplemental Figure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4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. HFD-induced obesity leads to fatty acid metabolism abnormality in mice. </w:t>
      </w:r>
      <w:r w:rsidRPr="00932A8B">
        <w:rPr>
          <w:rFonts w:ascii="Times New Roman" w:eastAsia="等线" w:hAnsi="Times New Roman" w:cs="Times New Roman"/>
          <w:sz w:val="24"/>
          <w:szCs w:val="24"/>
        </w:rPr>
        <w:t>(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A</w:t>
      </w:r>
      <w:r w:rsidRPr="00932A8B">
        <w:rPr>
          <w:rFonts w:ascii="Times New Roman" w:eastAsia="等线" w:hAnsi="Times New Roman" w:cs="Times New Roman"/>
          <w:sz w:val="24"/>
          <w:szCs w:val="24"/>
        </w:rPr>
        <w:t>)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Pr="00932A8B">
        <w:rPr>
          <w:rFonts w:ascii="Times New Roman" w:eastAsia="等线" w:hAnsi="Times New Roman" w:cs="Times New Roman"/>
          <w:sz w:val="24"/>
          <w:szCs w:val="24"/>
        </w:rPr>
        <w:t>Heat map of free fatty acids in mouse serum (n = 4). (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B</w:t>
      </w:r>
      <w:r w:rsidRPr="00932A8B">
        <w:rPr>
          <w:rFonts w:ascii="Times New Roman" w:eastAsia="等线" w:hAnsi="Times New Roman" w:cs="Times New Roman"/>
          <w:sz w:val="24"/>
          <w:szCs w:val="24"/>
        </w:rPr>
        <w:t>)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Z-score of free fatty acids in mouse serum (n = 4). </w:t>
      </w:r>
    </w:p>
    <w:p w14:paraId="0579806D" w14:textId="77777777" w:rsidR="00F97555" w:rsidRDefault="00F97555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14:paraId="516AAFCC" w14:textId="786614AA" w:rsidR="00F97555" w:rsidRPr="00F97555" w:rsidRDefault="00F0091A" w:rsidP="00F0091A">
      <w:pPr>
        <w:spacing w:line="480" w:lineRule="auto"/>
        <w:jc w:val="center"/>
        <w:rPr>
          <w:rFonts w:ascii="Times New Roman" w:eastAsia="等线" w:hAnsi="Times New Roman" w:cs="Times New Roman" w:hint="eastAsia"/>
          <w:b/>
          <w:bCs/>
          <w:sz w:val="24"/>
          <w:szCs w:val="24"/>
        </w:rPr>
      </w:pPr>
      <w:r w:rsidRPr="00F0091A">
        <w:rPr>
          <w:rFonts w:ascii="Times New Roman" w:eastAsia="等线" w:hAnsi="Times New Roman" w:cs="Times New Roman" w:hint="eastAsia"/>
          <w:b/>
          <w:bCs/>
          <w:sz w:val="24"/>
          <w:szCs w:val="24"/>
        </w:rPr>
        <w:lastRenderedPageBreak/>
        <w:drawing>
          <wp:inline distT="0" distB="0" distL="0" distR="0" wp14:anchorId="05A6A533" wp14:editId="1494CACD">
            <wp:extent cx="6479540" cy="4588510"/>
            <wp:effectExtent l="0" t="0" r="0" b="2540"/>
            <wp:docPr id="54261549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458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0195D" w14:textId="12CF5611" w:rsidR="006D367A" w:rsidRPr="008D5FFB" w:rsidRDefault="006D367A" w:rsidP="006D367A">
      <w:pPr>
        <w:spacing w:line="48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Supplemental Figure 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5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PA and 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SA promote NETs production </w:t>
      </w:r>
      <w:r w:rsidRPr="00932A8B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ex vivo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through </w:t>
      </w:r>
      <w:bookmarkStart w:id="4" w:name="_Hlk172922242"/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TLR4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-MD2</w:t>
      </w:r>
      <w:bookmarkEnd w:id="4"/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/ROS signaling pathway.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Pr="00932A8B">
        <w:rPr>
          <w:rFonts w:ascii="Times New Roman" w:eastAsia="等线" w:hAnsi="Times New Roman" w:cs="Times New Roman"/>
          <w:sz w:val="24"/>
          <w:szCs w:val="24"/>
        </w:rPr>
        <w:t>(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A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) Representative immunofluorescence staining of citH3, </w:t>
      </w:r>
      <w:r w:rsidRPr="006D367A">
        <w:rPr>
          <w:rFonts w:ascii="Times New Roman" w:eastAsia="等线" w:hAnsi="Times New Roman" w:cs="Times New Roman" w:hint="eastAsia"/>
          <w:sz w:val="24"/>
          <w:szCs w:val="24"/>
        </w:rPr>
        <w:t>TLR4-MD2</w:t>
      </w:r>
      <w:r>
        <w:rPr>
          <w:rFonts w:ascii="Times New Roman" w:eastAsia="等线" w:hAnsi="Times New Roman" w:cs="Times New Roman" w:hint="eastAsia"/>
          <w:sz w:val="24"/>
          <w:szCs w:val="24"/>
        </w:rPr>
        <w:t>,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and DAPI in BM-derived neutrophils 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ex vivo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(scale bar = 10 </w:t>
      </w:r>
      <w:proofErr w:type="spellStart"/>
      <w:r w:rsidRPr="00932A8B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Pr="00932A8B">
        <w:rPr>
          <w:rFonts w:ascii="Times New Roman" w:eastAsia="等线" w:hAnsi="Times New Roman" w:cs="Times New Roman"/>
          <w:sz w:val="24"/>
          <w:szCs w:val="24"/>
        </w:rPr>
        <w:t>). (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B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) DCFH-DA staining was performed to determine total ROS levels in BM-derived neutrophils 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ex vivo 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(scale bar = 10 </w:t>
      </w:r>
      <w:proofErr w:type="spellStart"/>
      <w:r w:rsidRPr="00932A8B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Pr="00932A8B">
        <w:rPr>
          <w:rFonts w:ascii="Times New Roman" w:eastAsia="等线" w:hAnsi="Times New Roman" w:cs="Times New Roman"/>
          <w:sz w:val="24"/>
          <w:szCs w:val="24"/>
        </w:rPr>
        <w:t>).</w:t>
      </w:r>
      <w:r w:rsidRPr="006D367A">
        <w:rPr>
          <w:rFonts w:ascii="Times New Roman" w:eastAsia="等线" w:hAnsi="Times New Roman" w:cs="Times New Roman"/>
          <w:sz w:val="24"/>
          <w:szCs w:val="24"/>
        </w:rPr>
        <w:t xml:space="preserve"> (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C</w:t>
      </w:r>
      <w:r w:rsidRPr="006D367A">
        <w:rPr>
          <w:rFonts w:ascii="Times New Roman" w:eastAsia="等线" w:hAnsi="Times New Roman" w:cs="Times New Roman"/>
          <w:sz w:val="24"/>
          <w:szCs w:val="24"/>
        </w:rPr>
        <w:t xml:space="preserve">) Representative immunofluorescence staining of citH3, </w:t>
      </w:r>
      <w:r w:rsidRPr="006D367A">
        <w:rPr>
          <w:rFonts w:ascii="Times New Roman" w:eastAsia="等线" w:hAnsi="Times New Roman" w:cs="Times New Roman" w:hint="eastAsia"/>
          <w:sz w:val="24"/>
          <w:szCs w:val="24"/>
        </w:rPr>
        <w:t>TLR4-MD2,</w:t>
      </w:r>
      <w:r w:rsidRPr="006D367A">
        <w:rPr>
          <w:rFonts w:ascii="Times New Roman" w:eastAsia="等线" w:hAnsi="Times New Roman" w:cs="Times New Roman"/>
          <w:sz w:val="24"/>
          <w:szCs w:val="24"/>
        </w:rPr>
        <w:t xml:space="preserve"> and DAPI in BM-derived neutrophils </w:t>
      </w:r>
      <w:r w:rsidRPr="006D367A">
        <w:rPr>
          <w:rFonts w:ascii="Times New Roman" w:eastAsia="等线" w:hAnsi="Times New Roman" w:cs="Times New Roman"/>
          <w:i/>
          <w:iCs/>
          <w:sz w:val="24"/>
          <w:szCs w:val="24"/>
        </w:rPr>
        <w:t>ex vivo</w:t>
      </w:r>
      <w:r w:rsidRPr="006D367A">
        <w:rPr>
          <w:rFonts w:ascii="Times New Roman" w:eastAsia="等线" w:hAnsi="Times New Roman" w:cs="Times New Roman"/>
          <w:sz w:val="24"/>
          <w:szCs w:val="24"/>
        </w:rPr>
        <w:t xml:space="preserve"> (scale bar = 10 </w:t>
      </w:r>
      <w:proofErr w:type="spellStart"/>
      <w:r w:rsidRPr="006D367A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Pr="006D367A">
        <w:rPr>
          <w:rFonts w:ascii="Times New Roman" w:eastAsia="等线" w:hAnsi="Times New Roman" w:cs="Times New Roman"/>
          <w:sz w:val="24"/>
          <w:szCs w:val="24"/>
        </w:rPr>
        <w:t>). (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D</w:t>
      </w:r>
      <w:r w:rsidRPr="006D367A">
        <w:rPr>
          <w:rFonts w:ascii="Times New Roman" w:eastAsia="等线" w:hAnsi="Times New Roman" w:cs="Times New Roman"/>
          <w:sz w:val="24"/>
          <w:szCs w:val="24"/>
        </w:rPr>
        <w:t xml:space="preserve">) DCFH-DA staining was performed to determine total ROS levels in BM-derived neutrophils </w:t>
      </w:r>
      <w:r w:rsidRPr="006D367A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ex vivo </w:t>
      </w:r>
      <w:r w:rsidRPr="006D367A">
        <w:rPr>
          <w:rFonts w:ascii="Times New Roman" w:eastAsia="等线" w:hAnsi="Times New Roman" w:cs="Times New Roman"/>
          <w:sz w:val="24"/>
          <w:szCs w:val="24"/>
        </w:rPr>
        <w:t xml:space="preserve">(scale bar = 10 </w:t>
      </w:r>
      <w:proofErr w:type="spellStart"/>
      <w:r w:rsidRPr="006D367A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Pr="006D367A">
        <w:rPr>
          <w:rFonts w:ascii="Times New Roman" w:eastAsia="等线" w:hAnsi="Times New Roman" w:cs="Times New Roman"/>
          <w:sz w:val="24"/>
          <w:szCs w:val="24"/>
        </w:rPr>
        <w:t>).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932A8B">
        <w:rPr>
          <w:rFonts w:ascii="Times New Roman" w:eastAsia="等线" w:hAnsi="Times New Roman" w:cs="Times New Roman"/>
          <w:sz w:val="24"/>
          <w:szCs w:val="24"/>
        </w:rPr>
        <w:t>(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E</w:t>
      </w:r>
      <w:r w:rsidRPr="00932A8B">
        <w:rPr>
          <w:rFonts w:ascii="Times New Roman" w:eastAsia="等线" w:hAnsi="Times New Roman" w:cs="Times New Roman"/>
          <w:sz w:val="24"/>
          <w:szCs w:val="24"/>
        </w:rPr>
        <w:t>) Flow cytometric analysis of TLR4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-MD2 complex and </w:t>
      </w:r>
      <w:r w:rsidRPr="00932A8B">
        <w:rPr>
          <w:rFonts w:ascii="Times New Roman" w:eastAsia="等线" w:hAnsi="Times New Roman" w:cs="Times New Roman"/>
          <w:sz w:val="24"/>
          <w:szCs w:val="24"/>
        </w:rPr>
        <w:t>DCFH-DA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in BM-derived neutrophils 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ex vivo</w:t>
      </w:r>
      <w:r w:rsidRPr="00932A8B">
        <w:rPr>
          <w:rFonts w:ascii="Times New Roman" w:eastAsia="等线" w:hAnsi="Times New Roman" w:cs="Times New Roman"/>
          <w:sz w:val="24"/>
          <w:szCs w:val="24"/>
        </w:rPr>
        <w:t>. (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F</w:t>
      </w:r>
      <w:r w:rsidRPr="00932A8B">
        <w:rPr>
          <w:rFonts w:ascii="Times New Roman" w:eastAsia="等线" w:hAnsi="Times New Roman" w:cs="Times New Roman"/>
          <w:sz w:val="24"/>
          <w:szCs w:val="24"/>
        </w:rPr>
        <w:t>)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Flow cytometric analysis of 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ex vivo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NETs formation from BM-derived neutrophils. Results are from 3 independent experiments. ns, not significant. Error bars show means ± SEM. *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&lt; .05, **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&lt; .01, ***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&lt; .001.</w:t>
      </w:r>
    </w:p>
    <w:p w14:paraId="75EFA7DD" w14:textId="77777777" w:rsidR="00F97555" w:rsidRDefault="00F97555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14:paraId="2D4F4393" w14:textId="39ABB272" w:rsidR="00F97555" w:rsidRPr="00F97555" w:rsidRDefault="00F0091A" w:rsidP="00F0091A">
      <w:pPr>
        <w:spacing w:line="480" w:lineRule="auto"/>
        <w:jc w:val="center"/>
        <w:rPr>
          <w:rFonts w:ascii="Times New Roman" w:eastAsia="等线" w:hAnsi="Times New Roman" w:cs="Times New Roman" w:hint="eastAsia"/>
          <w:b/>
          <w:bCs/>
          <w:sz w:val="24"/>
          <w:szCs w:val="24"/>
        </w:rPr>
      </w:pPr>
      <w:r w:rsidRPr="00F0091A">
        <w:rPr>
          <w:rFonts w:ascii="Times New Roman" w:eastAsia="等线" w:hAnsi="Times New Roman" w:cs="Times New Roman" w:hint="eastAsia"/>
          <w:b/>
          <w:bCs/>
          <w:sz w:val="24"/>
          <w:szCs w:val="24"/>
        </w:rPr>
        <w:lastRenderedPageBreak/>
        <w:drawing>
          <wp:inline distT="0" distB="0" distL="0" distR="0" wp14:anchorId="200966B8" wp14:editId="34553A57">
            <wp:extent cx="6066155" cy="9611360"/>
            <wp:effectExtent l="0" t="0" r="0" b="8890"/>
            <wp:docPr id="43973993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6155" cy="961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8DDEC" w14:textId="106E6399" w:rsidR="00D24337" w:rsidRPr="008D5FFB" w:rsidRDefault="00D24337" w:rsidP="00D24337">
      <w:pPr>
        <w:spacing w:line="48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D24337">
        <w:rPr>
          <w:rFonts w:ascii="Times New Roman" w:eastAsia="等线" w:hAnsi="Times New Roman" w:cs="Times New Roman"/>
          <w:b/>
          <w:bCs/>
          <w:sz w:val="24"/>
          <w:szCs w:val="24"/>
        </w:rPr>
        <w:lastRenderedPageBreak/>
        <w:t xml:space="preserve">Supplemental Figure 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6</w:t>
      </w:r>
      <w:r w:rsidRPr="00D24337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A</w:t>
      </w:r>
      <w:r w:rsidRPr="00D24337">
        <w:rPr>
          <w:rFonts w:ascii="Times New Roman" w:eastAsia="等线" w:hAnsi="Times New Roman" w:cs="Times New Roman"/>
          <w:b/>
          <w:bCs/>
          <w:sz w:val="24"/>
          <w:szCs w:val="24"/>
        </w:rPr>
        <w:t>bundance of IL-17A</w:t>
      </w:r>
      <w:r w:rsidRPr="00D24337">
        <w:rPr>
          <w:rFonts w:ascii="Times New Roman" w:eastAsia="等线" w:hAnsi="Times New Roman" w:cs="Times New Roman"/>
          <w:b/>
          <w:bCs/>
          <w:sz w:val="24"/>
          <w:szCs w:val="24"/>
          <w:vertAlign w:val="superscript"/>
        </w:rPr>
        <w:t>+</w:t>
      </w:r>
      <w:r w:rsidRPr="00D24337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cell infiltration</w:t>
      </w:r>
      <w:r w:rsidRPr="00D24337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and</w:t>
      </w:r>
      <w:r w:rsidRPr="00D24337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NETs within obesity-exacerbated inflamed skin of psoriasis patients and psoriasis-like mice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. </w:t>
      </w:r>
      <w:r w:rsidRPr="00932A8B">
        <w:rPr>
          <w:rFonts w:ascii="Times New Roman" w:eastAsia="等线" w:hAnsi="Times New Roman" w:cs="Times New Roman"/>
          <w:sz w:val="24"/>
          <w:szCs w:val="24"/>
        </w:rPr>
        <w:t>(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A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) Representative images of immunohistochemistry staining for </w:t>
      </w:r>
      <w:r>
        <w:rPr>
          <w:rFonts w:ascii="Times New Roman" w:eastAsia="等线" w:hAnsi="Times New Roman" w:cs="Times New Roman" w:hint="eastAsia"/>
          <w:sz w:val="24"/>
          <w:szCs w:val="24"/>
        </w:rPr>
        <w:t>IL-17A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in skin lesions of psoriasis patients (scale bar = 200 </w:t>
      </w:r>
      <w:proofErr w:type="spellStart"/>
      <w:r w:rsidRPr="00932A8B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Pr="00932A8B">
        <w:rPr>
          <w:rFonts w:ascii="Times New Roman" w:eastAsia="等线" w:hAnsi="Times New Roman" w:cs="Times New Roman"/>
          <w:sz w:val="24"/>
          <w:szCs w:val="24"/>
        </w:rPr>
        <w:t>).</w:t>
      </w:r>
      <w:r w:rsidRPr="00D24337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932A8B">
        <w:rPr>
          <w:rFonts w:ascii="Times New Roman" w:eastAsia="等线" w:hAnsi="Times New Roman" w:cs="Times New Roman"/>
          <w:sz w:val="24"/>
          <w:szCs w:val="24"/>
        </w:rPr>
        <w:t>(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B </w:t>
      </w:r>
      <w:r w:rsidRPr="00D24337">
        <w:rPr>
          <w:rFonts w:ascii="Times New Roman" w:eastAsia="等线" w:hAnsi="Times New Roman" w:cs="Times New Roman" w:hint="eastAsia"/>
          <w:sz w:val="24"/>
          <w:szCs w:val="24"/>
        </w:rPr>
        <w:t>and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C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) Representative images of immunohistochemistry staining of </w:t>
      </w:r>
      <w:r w:rsidRPr="00D24337">
        <w:rPr>
          <w:rFonts w:ascii="Times New Roman" w:eastAsia="等线" w:hAnsi="Times New Roman" w:cs="Times New Roman" w:hint="eastAsia"/>
          <w:sz w:val="24"/>
          <w:szCs w:val="24"/>
        </w:rPr>
        <w:t>IL-17A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in mouse skin (scale bar = 100 </w:t>
      </w:r>
      <w:proofErr w:type="spellStart"/>
      <w:r w:rsidRPr="00932A8B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Pr="00932A8B">
        <w:rPr>
          <w:rFonts w:ascii="Times New Roman" w:eastAsia="等线" w:hAnsi="Times New Roman" w:cs="Times New Roman"/>
          <w:sz w:val="24"/>
          <w:szCs w:val="24"/>
        </w:rPr>
        <w:t>).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(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D</w:t>
      </w:r>
      <w:r>
        <w:rPr>
          <w:rFonts w:ascii="Times New Roman" w:eastAsia="等线" w:hAnsi="Times New Roman" w:cs="Times New Roman"/>
          <w:sz w:val="24"/>
          <w:szCs w:val="24"/>
        </w:rPr>
        <w:t>)</w:t>
      </w:r>
      <w:r w:rsidRPr="00BC1D83">
        <w:rPr>
          <w:rFonts w:ascii="Times New Roman" w:eastAsia="等线" w:hAnsi="Times New Roman" w:cs="Times New Roman"/>
          <w:sz w:val="24"/>
          <w:szCs w:val="24"/>
        </w:rPr>
        <w:t xml:space="preserve"> Representative immunofluorescence staining of citH3, MPO, IL-17A and DAPI in skin lesions of psoriasis patients </w:t>
      </w:r>
      <w:r w:rsidR="005017F9" w:rsidRPr="00932A8B">
        <w:rPr>
          <w:rFonts w:ascii="Times New Roman" w:eastAsia="等线" w:hAnsi="Times New Roman" w:cs="Times New Roman"/>
          <w:sz w:val="24"/>
          <w:szCs w:val="24"/>
        </w:rPr>
        <w:t>(scale bar</w:t>
      </w:r>
      <w:r w:rsidR="005017F9" w:rsidRPr="00932A8B">
        <w:rPr>
          <w:rFonts w:ascii="Times New Roman" w:eastAsia="ArialMT" w:hAnsi="Times New Roman" w:cs="Times New Roman"/>
          <w:kern w:val="0"/>
          <w:sz w:val="24"/>
          <w:szCs w:val="24"/>
        </w:rPr>
        <w:t xml:space="preserve"> </w:t>
      </w:r>
      <w:r w:rsidR="005017F9" w:rsidRPr="00932A8B">
        <w:rPr>
          <w:rFonts w:ascii="Times New Roman" w:eastAsia="等线" w:hAnsi="Times New Roman" w:cs="Times New Roman"/>
          <w:sz w:val="24"/>
          <w:szCs w:val="24"/>
        </w:rPr>
        <w:t xml:space="preserve">= </w:t>
      </w:r>
      <w:r w:rsidR="0067289F">
        <w:rPr>
          <w:rFonts w:ascii="Times New Roman" w:eastAsia="等线" w:hAnsi="Times New Roman" w:cs="Times New Roman" w:hint="eastAsia"/>
          <w:sz w:val="24"/>
          <w:szCs w:val="24"/>
        </w:rPr>
        <w:t>50</w:t>
      </w:r>
      <w:r w:rsidR="005017F9" w:rsidRPr="00932A8B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 w:rsidR="005017F9" w:rsidRPr="00932A8B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="005017F9" w:rsidRPr="00932A8B">
        <w:rPr>
          <w:rFonts w:ascii="Times New Roman" w:eastAsia="等线" w:hAnsi="Times New Roman" w:cs="Times New Roman"/>
          <w:sz w:val="24"/>
          <w:szCs w:val="24"/>
        </w:rPr>
        <w:t>)</w:t>
      </w:r>
      <w:r w:rsidRPr="00BC1D83">
        <w:rPr>
          <w:rFonts w:ascii="Times New Roman" w:eastAsia="等线" w:hAnsi="Times New Roman" w:cs="Times New Roman"/>
          <w:sz w:val="24"/>
          <w:szCs w:val="24"/>
        </w:rPr>
        <w:t>.</w:t>
      </w:r>
      <w:r w:rsidR="0067289F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(</w:t>
      </w:r>
      <w:r w:rsidR="0067289F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E</w:t>
      </w:r>
      <w:r w:rsidR="00336732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="00336732" w:rsidRPr="00336732">
        <w:rPr>
          <w:rFonts w:ascii="Times New Roman" w:eastAsia="等线" w:hAnsi="Times New Roman" w:cs="Times New Roman" w:hint="eastAsia"/>
          <w:sz w:val="24"/>
          <w:szCs w:val="24"/>
        </w:rPr>
        <w:t>and</w:t>
      </w:r>
      <w:r w:rsidR="00336732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F</w:t>
      </w:r>
      <w:r>
        <w:rPr>
          <w:rFonts w:ascii="Times New Roman" w:eastAsia="等线" w:hAnsi="Times New Roman" w:cs="Times New Roman"/>
          <w:sz w:val="24"/>
          <w:szCs w:val="24"/>
        </w:rPr>
        <w:t>)</w:t>
      </w:r>
      <w:r w:rsidRPr="00BC1D83">
        <w:rPr>
          <w:rFonts w:ascii="Times New Roman" w:eastAsia="等线" w:hAnsi="Times New Roman" w:cs="Times New Roman"/>
          <w:sz w:val="24"/>
          <w:szCs w:val="24"/>
        </w:rPr>
        <w:t xml:space="preserve"> Representative immunofluorescence staining of citH3, MPO, IL-17A and DAPI in mouse skin (scale bar = 100 </w:t>
      </w:r>
      <w:proofErr w:type="spellStart"/>
      <w:r w:rsidRPr="00BC1D83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Pr="00BC1D83">
        <w:rPr>
          <w:rFonts w:ascii="Times New Roman" w:eastAsia="等线" w:hAnsi="Times New Roman" w:cs="Times New Roman"/>
          <w:sz w:val="24"/>
          <w:szCs w:val="24"/>
        </w:rPr>
        <w:t xml:space="preserve">). </w:t>
      </w:r>
      <w:r w:rsidR="002F60A3" w:rsidRPr="002F60A3">
        <w:rPr>
          <w:rFonts w:ascii="Times New Roman" w:eastAsia="等线" w:hAnsi="Times New Roman" w:cs="Times New Roman"/>
          <w:sz w:val="24"/>
          <w:szCs w:val="24"/>
        </w:rPr>
        <w:t>Results are from 3 independent experiments.</w:t>
      </w:r>
    </w:p>
    <w:p w14:paraId="24F98FB6" w14:textId="77777777" w:rsidR="00F97555" w:rsidRDefault="00F97555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14:paraId="20C30192" w14:textId="6F21B360" w:rsidR="00F97555" w:rsidRPr="00F97555" w:rsidRDefault="00F0091A" w:rsidP="00F0091A">
      <w:pPr>
        <w:spacing w:line="480" w:lineRule="auto"/>
        <w:jc w:val="center"/>
        <w:rPr>
          <w:rFonts w:ascii="Times New Roman" w:eastAsia="等线" w:hAnsi="Times New Roman" w:cs="Times New Roman" w:hint="eastAsia"/>
          <w:b/>
          <w:bCs/>
          <w:sz w:val="24"/>
          <w:szCs w:val="24"/>
        </w:rPr>
      </w:pPr>
      <w:r w:rsidRPr="00F0091A">
        <w:rPr>
          <w:rFonts w:ascii="Times New Roman" w:eastAsia="等线" w:hAnsi="Times New Roman" w:cs="Times New Roman" w:hint="eastAsia"/>
          <w:b/>
          <w:bCs/>
          <w:sz w:val="24"/>
          <w:szCs w:val="24"/>
        </w:rPr>
        <w:lastRenderedPageBreak/>
        <w:drawing>
          <wp:inline distT="0" distB="0" distL="0" distR="0" wp14:anchorId="6A9CF582" wp14:editId="4E7C2DC7">
            <wp:extent cx="6479540" cy="6753225"/>
            <wp:effectExtent l="0" t="0" r="0" b="9525"/>
            <wp:docPr id="99234839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675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34434" w14:textId="428F8CD7" w:rsidR="00BA22A7" w:rsidRPr="00F97555" w:rsidRDefault="00336732" w:rsidP="00355E52">
      <w:pPr>
        <w:spacing w:line="48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Supplemental Figure 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7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A1244C" w:rsidRPr="00A1244C">
        <w:rPr>
          <w:rFonts w:ascii="Times New Roman" w:eastAsia="等线" w:hAnsi="Times New Roman" w:cs="Times New Roman"/>
          <w:b/>
          <w:bCs/>
          <w:sz w:val="24"/>
          <w:szCs w:val="24"/>
        </w:rPr>
        <w:t>Histologic analysis of dorsal skin from anti-IL17A-treated psoriatic mice with PA intervention with or without DNase Ⅰ treatment.</w:t>
      </w:r>
      <w:r w:rsidRPr="00932A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="00A1244C">
        <w:rPr>
          <w:rFonts w:ascii="Times New Roman" w:eastAsia="等线" w:hAnsi="Times New Roman" w:cs="Times New Roman"/>
          <w:sz w:val="24"/>
          <w:szCs w:val="24"/>
        </w:rPr>
        <w:t>(</w:t>
      </w:r>
      <w:r w:rsidR="00A1244C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A</w:t>
      </w:r>
      <w:r w:rsidR="00A1244C">
        <w:rPr>
          <w:rFonts w:ascii="Times New Roman" w:eastAsia="等线" w:hAnsi="Times New Roman" w:cs="Times New Roman"/>
          <w:sz w:val="24"/>
          <w:szCs w:val="24"/>
        </w:rPr>
        <w:t>)</w:t>
      </w:r>
      <w:r w:rsidR="00A1244C" w:rsidRPr="00BC1D83">
        <w:rPr>
          <w:rFonts w:ascii="Times New Roman" w:eastAsia="等线" w:hAnsi="Times New Roman" w:cs="Times New Roman"/>
          <w:sz w:val="24"/>
          <w:szCs w:val="24"/>
        </w:rPr>
        <w:t xml:space="preserve"> Representative images of immunohistochemistry staining and summarized bar graphs of mean IOD of </w:t>
      </w:r>
      <w:r w:rsidR="00A1244C">
        <w:rPr>
          <w:rFonts w:ascii="Times New Roman" w:eastAsia="等线" w:hAnsi="Times New Roman" w:cs="Times New Roman"/>
          <w:sz w:val="24"/>
          <w:szCs w:val="24"/>
        </w:rPr>
        <w:t xml:space="preserve">Ki67, Ly6G, </w:t>
      </w:r>
      <w:r w:rsidR="00A1244C" w:rsidRPr="00BC1D83">
        <w:rPr>
          <w:rFonts w:ascii="Times New Roman" w:eastAsia="等线" w:hAnsi="Times New Roman" w:cs="Times New Roman"/>
          <w:sz w:val="24"/>
          <w:szCs w:val="24"/>
        </w:rPr>
        <w:t xml:space="preserve">IL-17A and citH3 in mouse skin (scale bar = 100 </w:t>
      </w:r>
      <w:proofErr w:type="spellStart"/>
      <w:r w:rsidR="00A1244C" w:rsidRPr="00BC1D83">
        <w:rPr>
          <w:rFonts w:ascii="Times New Roman" w:eastAsia="等线" w:hAnsi="Times New Roman" w:cs="Times New Roman"/>
          <w:sz w:val="24"/>
          <w:szCs w:val="24"/>
        </w:rPr>
        <w:t>μm</w:t>
      </w:r>
      <w:proofErr w:type="spellEnd"/>
      <w:r w:rsidR="00A1244C" w:rsidRPr="00BC1D83">
        <w:rPr>
          <w:rFonts w:ascii="Times New Roman" w:eastAsia="等线" w:hAnsi="Times New Roman" w:cs="Times New Roman"/>
          <w:sz w:val="24"/>
          <w:szCs w:val="24"/>
        </w:rPr>
        <w:t>).</w:t>
      </w:r>
      <w:r w:rsidR="00A1244C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</w:t>
      </w:r>
      <w:r w:rsidRPr="00932A8B">
        <w:rPr>
          <w:rFonts w:ascii="Times New Roman" w:eastAsia="等线" w:hAnsi="Times New Roman" w:cs="Times New Roman"/>
          <w:sz w:val="24"/>
          <w:szCs w:val="24"/>
        </w:rPr>
        <w:t>(</w:t>
      </w:r>
      <w:r w:rsidR="00A1244C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B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) Flow cytometric analysis of the frequencies of </w:t>
      </w:r>
      <w:proofErr w:type="spellStart"/>
      <w:r w:rsidRPr="00932A8B">
        <w:rPr>
          <w:rFonts w:ascii="Times New Roman" w:eastAsia="等线" w:hAnsi="Times New Roman" w:cs="Times New Roman"/>
          <w:sz w:val="24"/>
          <w:szCs w:val="24"/>
        </w:rPr>
        <w:t>γδT</w:t>
      </w:r>
      <w:proofErr w:type="spellEnd"/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and CD4</w:t>
      </w:r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T cells gated on CD3</w:t>
      </w:r>
      <w:r w:rsidRPr="00932A8B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T cells </w:t>
      </w:r>
      <w:proofErr w:type="spellStart"/>
      <w:r w:rsidRPr="00932A8B">
        <w:rPr>
          <w:rFonts w:ascii="Times New Roman" w:eastAsia="等线" w:hAnsi="Times New Roman" w:cs="Times New Roman"/>
          <w:sz w:val="24"/>
          <w:szCs w:val="24"/>
        </w:rPr>
        <w:t>cells</w:t>
      </w:r>
      <w:proofErr w:type="spellEnd"/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from </w:t>
      </w:r>
      <w:proofErr w:type="spellStart"/>
      <w:r w:rsidRPr="00932A8B">
        <w:rPr>
          <w:rFonts w:ascii="Times New Roman" w:eastAsia="等线" w:hAnsi="Times New Roman" w:cs="Times New Roman"/>
          <w:sz w:val="24"/>
          <w:szCs w:val="24"/>
        </w:rPr>
        <w:t>dLN</w:t>
      </w:r>
      <w:proofErr w:type="spellEnd"/>
      <w:r w:rsidRPr="00932A8B">
        <w:rPr>
          <w:rFonts w:ascii="Times New Roman" w:eastAsia="等线" w:hAnsi="Times New Roman" w:cs="Times New Roman"/>
          <w:sz w:val="24"/>
          <w:szCs w:val="24"/>
        </w:rPr>
        <w:t>. Results are from 3 independent experiments with 3 to 5 mice per group. ns, not significant. Error bars show means ± SEM. *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&lt; .05, **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&lt; .01, ***</w:t>
      </w:r>
      <w:r w:rsidRPr="00932A8B"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 w:rsidRPr="00932A8B">
        <w:rPr>
          <w:rFonts w:ascii="Times New Roman" w:eastAsia="等线" w:hAnsi="Times New Roman" w:cs="Times New Roman"/>
          <w:sz w:val="24"/>
          <w:szCs w:val="24"/>
        </w:rPr>
        <w:t xml:space="preserve"> &lt; .001.</w:t>
      </w:r>
    </w:p>
    <w:sectPr w:rsidR="00BA22A7" w:rsidRPr="00F97555" w:rsidSect="004B0431">
      <w:footerReference w:type="default" r:id="rId14"/>
      <w:pgSz w:w="11906" w:h="16838"/>
      <w:pgMar w:top="851" w:right="851" w:bottom="851" w:left="851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582888" w14:textId="77777777" w:rsidR="00DA1627" w:rsidRDefault="00DA1627" w:rsidP="00902B4F">
      <w:pPr>
        <w:rPr>
          <w:rFonts w:hint="eastAsia"/>
        </w:rPr>
      </w:pPr>
      <w:r>
        <w:separator/>
      </w:r>
    </w:p>
  </w:endnote>
  <w:endnote w:type="continuationSeparator" w:id="0">
    <w:p w14:paraId="005CA891" w14:textId="77777777" w:rsidR="00DA1627" w:rsidRDefault="00DA1627" w:rsidP="00902B4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5297589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7BE045A6" w14:textId="685D97A5" w:rsidR="00902B4F" w:rsidRPr="00902B4F" w:rsidRDefault="00902B4F">
        <w:pPr>
          <w:pStyle w:val="a5"/>
          <w:jc w:val="center"/>
          <w:rPr>
            <w:rFonts w:ascii="Times New Roman" w:hAnsi="Times New Roman" w:cs="Times New Roman"/>
          </w:rPr>
        </w:pPr>
        <w:r w:rsidRPr="00902B4F">
          <w:rPr>
            <w:rFonts w:ascii="Times New Roman" w:hAnsi="Times New Roman" w:cs="Times New Roman"/>
          </w:rPr>
          <w:fldChar w:fldCharType="begin"/>
        </w:r>
        <w:r w:rsidRPr="00902B4F">
          <w:rPr>
            <w:rFonts w:ascii="Times New Roman" w:hAnsi="Times New Roman" w:cs="Times New Roman"/>
          </w:rPr>
          <w:instrText>PAGE   \* MERGEFORMAT</w:instrText>
        </w:r>
        <w:r w:rsidRPr="00902B4F">
          <w:rPr>
            <w:rFonts w:ascii="Times New Roman" w:hAnsi="Times New Roman" w:cs="Times New Roman"/>
          </w:rPr>
          <w:fldChar w:fldCharType="separate"/>
        </w:r>
        <w:r w:rsidRPr="00902B4F">
          <w:rPr>
            <w:rFonts w:ascii="Times New Roman" w:hAnsi="Times New Roman" w:cs="Times New Roman"/>
            <w:lang w:val="zh-CN"/>
          </w:rPr>
          <w:t>2</w:t>
        </w:r>
        <w:r w:rsidRPr="00902B4F">
          <w:rPr>
            <w:rFonts w:ascii="Times New Roman" w:hAnsi="Times New Roman" w:cs="Times New Roman"/>
          </w:rPr>
          <w:fldChar w:fldCharType="end"/>
        </w:r>
      </w:p>
    </w:sdtContent>
  </w:sdt>
  <w:p w14:paraId="5439B076" w14:textId="76413F4E" w:rsidR="00902B4F" w:rsidRDefault="00902B4F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677BC0" w14:textId="77777777" w:rsidR="00DA1627" w:rsidRDefault="00DA1627" w:rsidP="00902B4F">
      <w:pPr>
        <w:rPr>
          <w:rFonts w:hint="eastAsia"/>
        </w:rPr>
      </w:pPr>
      <w:r>
        <w:separator/>
      </w:r>
    </w:p>
  </w:footnote>
  <w:footnote w:type="continuationSeparator" w:id="0">
    <w:p w14:paraId="53EDFF6B" w14:textId="77777777" w:rsidR="00DA1627" w:rsidRDefault="00DA1627" w:rsidP="00902B4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fps2sd9vdpr6epfv6vs5vott2052esaefv&quot;&gt;My EndNote Library20231004&lt;record-ids&gt;&lt;item&gt;63&lt;/item&gt;&lt;item&gt;66&lt;/item&gt;&lt;item&gt;67&lt;/item&gt;&lt;item&gt;73&lt;/item&gt;&lt;item&gt;88&lt;/item&gt;&lt;item&gt;98&lt;/item&gt;&lt;item&gt;100&lt;/item&gt;&lt;item&gt;102&lt;/item&gt;&lt;item&gt;111&lt;/item&gt;&lt;item&gt;118&lt;/item&gt;&lt;item&gt;119&lt;/item&gt;&lt;item&gt;121&lt;/item&gt;&lt;item&gt;122&lt;/item&gt;&lt;item&gt;123&lt;/item&gt;&lt;item&gt;125&lt;/item&gt;&lt;item&gt;126&lt;/item&gt;&lt;item&gt;127&lt;/item&gt;&lt;item&gt;128&lt;/item&gt;&lt;item&gt;129&lt;/item&gt;&lt;item&gt;130&lt;/item&gt;&lt;item&gt;131&lt;/item&gt;&lt;item&gt;132&lt;/item&gt;&lt;item&gt;135&lt;/item&gt;&lt;item&gt;137&lt;/item&gt;&lt;item&gt;138&lt;/item&gt;&lt;item&gt;139&lt;/item&gt;&lt;item&gt;141&lt;/item&gt;&lt;item&gt;148&lt;/item&gt;&lt;item&gt;198&lt;/item&gt;&lt;item&gt;226&lt;/item&gt;&lt;item&gt;229&lt;/item&gt;&lt;item&gt;231&lt;/item&gt;&lt;item&gt;241&lt;/item&gt;&lt;item&gt;242&lt;/item&gt;&lt;item&gt;248&lt;/item&gt;&lt;item&gt;253&lt;/item&gt;&lt;item&gt;254&lt;/item&gt;&lt;item&gt;257&lt;/item&gt;&lt;item&gt;258&lt;/item&gt;&lt;item&gt;265&lt;/item&gt;&lt;item&gt;270&lt;/item&gt;&lt;item&gt;271&lt;/item&gt;&lt;item&gt;278&lt;/item&gt;&lt;item&gt;279&lt;/item&gt;&lt;item&gt;287&lt;/item&gt;&lt;item&gt;293&lt;/item&gt;&lt;item&gt;294&lt;/item&gt;&lt;item&gt;295&lt;/item&gt;&lt;item&gt;551&lt;/item&gt;&lt;item&gt;619&lt;/item&gt;&lt;item&gt;620&lt;/item&gt;&lt;item&gt;621&lt;/item&gt;&lt;item&gt;622&lt;/item&gt;&lt;item&gt;623&lt;/item&gt;&lt;item&gt;624&lt;/item&gt;&lt;item&gt;626&lt;/item&gt;&lt;item&gt;627&lt;/item&gt;&lt;item&gt;628&lt;/item&gt;&lt;item&gt;637&lt;/item&gt;&lt;item&gt;638&lt;/item&gt;&lt;item&gt;640&lt;/item&gt;&lt;item&gt;643&lt;/item&gt;&lt;item&gt;645&lt;/item&gt;&lt;item&gt;646&lt;/item&gt;&lt;item&gt;649&lt;/item&gt;&lt;item&gt;650&lt;/item&gt;&lt;item&gt;653&lt;/item&gt;&lt;item&gt;657&lt;/item&gt;&lt;item&gt;670&lt;/item&gt;&lt;/record-ids&gt;&lt;/item&gt;&lt;/Libraries&gt;"/>
  </w:docVars>
  <w:rsids>
    <w:rsidRoot w:val="006532D2"/>
    <w:rsid w:val="00011042"/>
    <w:rsid w:val="000429DD"/>
    <w:rsid w:val="0006313C"/>
    <w:rsid w:val="000742E1"/>
    <w:rsid w:val="00094052"/>
    <w:rsid w:val="000B348C"/>
    <w:rsid w:val="000C34B7"/>
    <w:rsid w:val="000E2746"/>
    <w:rsid w:val="000E6DC1"/>
    <w:rsid w:val="001141F2"/>
    <w:rsid w:val="00114DF3"/>
    <w:rsid w:val="00124DF8"/>
    <w:rsid w:val="00133345"/>
    <w:rsid w:val="00147C12"/>
    <w:rsid w:val="00157A8F"/>
    <w:rsid w:val="001C0F99"/>
    <w:rsid w:val="001D5796"/>
    <w:rsid w:val="001E12AD"/>
    <w:rsid w:val="001E1479"/>
    <w:rsid w:val="002113D4"/>
    <w:rsid w:val="002245EB"/>
    <w:rsid w:val="002340F6"/>
    <w:rsid w:val="00236BD6"/>
    <w:rsid w:val="00244916"/>
    <w:rsid w:val="002572D3"/>
    <w:rsid w:val="00274C7E"/>
    <w:rsid w:val="002840E3"/>
    <w:rsid w:val="00285CFE"/>
    <w:rsid w:val="002A016D"/>
    <w:rsid w:val="002A0D6F"/>
    <w:rsid w:val="002A3E77"/>
    <w:rsid w:val="002B7064"/>
    <w:rsid w:val="002C4DE3"/>
    <w:rsid w:val="002F04EB"/>
    <w:rsid w:val="002F60A3"/>
    <w:rsid w:val="002F66B6"/>
    <w:rsid w:val="003044B1"/>
    <w:rsid w:val="00307378"/>
    <w:rsid w:val="00320454"/>
    <w:rsid w:val="00336732"/>
    <w:rsid w:val="00353FCA"/>
    <w:rsid w:val="00355E52"/>
    <w:rsid w:val="003602CF"/>
    <w:rsid w:val="00362F0C"/>
    <w:rsid w:val="003701E1"/>
    <w:rsid w:val="00380390"/>
    <w:rsid w:val="00382EC1"/>
    <w:rsid w:val="00397896"/>
    <w:rsid w:val="003C7BEC"/>
    <w:rsid w:val="003D6FA0"/>
    <w:rsid w:val="0041267E"/>
    <w:rsid w:val="00435DB7"/>
    <w:rsid w:val="00472F97"/>
    <w:rsid w:val="00487EAD"/>
    <w:rsid w:val="004B0431"/>
    <w:rsid w:val="004C01F4"/>
    <w:rsid w:val="004D3E3A"/>
    <w:rsid w:val="004E6C94"/>
    <w:rsid w:val="004F191A"/>
    <w:rsid w:val="005017F9"/>
    <w:rsid w:val="00506AAB"/>
    <w:rsid w:val="00524C75"/>
    <w:rsid w:val="005318E8"/>
    <w:rsid w:val="00555227"/>
    <w:rsid w:val="00571D4C"/>
    <w:rsid w:val="005B145F"/>
    <w:rsid w:val="005B6220"/>
    <w:rsid w:val="005D21F3"/>
    <w:rsid w:val="005D2992"/>
    <w:rsid w:val="006042B3"/>
    <w:rsid w:val="00612682"/>
    <w:rsid w:val="00616A33"/>
    <w:rsid w:val="0063521D"/>
    <w:rsid w:val="006532D2"/>
    <w:rsid w:val="00656251"/>
    <w:rsid w:val="0067289F"/>
    <w:rsid w:val="00673FA4"/>
    <w:rsid w:val="006A74EC"/>
    <w:rsid w:val="006B7015"/>
    <w:rsid w:val="006C5ABD"/>
    <w:rsid w:val="006C7F6D"/>
    <w:rsid w:val="006D367A"/>
    <w:rsid w:val="006E200F"/>
    <w:rsid w:val="006E5947"/>
    <w:rsid w:val="006F0932"/>
    <w:rsid w:val="006F4600"/>
    <w:rsid w:val="00713BCE"/>
    <w:rsid w:val="007248B4"/>
    <w:rsid w:val="007313ED"/>
    <w:rsid w:val="007332D2"/>
    <w:rsid w:val="00783D76"/>
    <w:rsid w:val="007933F3"/>
    <w:rsid w:val="007A205F"/>
    <w:rsid w:val="007A3DAB"/>
    <w:rsid w:val="007C6381"/>
    <w:rsid w:val="007D1E15"/>
    <w:rsid w:val="007D3743"/>
    <w:rsid w:val="00827D2F"/>
    <w:rsid w:val="008732B0"/>
    <w:rsid w:val="008B645E"/>
    <w:rsid w:val="008C5932"/>
    <w:rsid w:val="008D6534"/>
    <w:rsid w:val="008E6CCE"/>
    <w:rsid w:val="008F3316"/>
    <w:rsid w:val="008F75C8"/>
    <w:rsid w:val="00902B4F"/>
    <w:rsid w:val="00906FE4"/>
    <w:rsid w:val="00925A9A"/>
    <w:rsid w:val="009374BE"/>
    <w:rsid w:val="0094058A"/>
    <w:rsid w:val="00980BDA"/>
    <w:rsid w:val="0098167E"/>
    <w:rsid w:val="00986FD1"/>
    <w:rsid w:val="009A2F02"/>
    <w:rsid w:val="009B1C1A"/>
    <w:rsid w:val="009B7468"/>
    <w:rsid w:val="009C43D1"/>
    <w:rsid w:val="009C445F"/>
    <w:rsid w:val="009C48A9"/>
    <w:rsid w:val="00A1244C"/>
    <w:rsid w:val="00A33E93"/>
    <w:rsid w:val="00A46A63"/>
    <w:rsid w:val="00A6036F"/>
    <w:rsid w:val="00A6480A"/>
    <w:rsid w:val="00A65C6B"/>
    <w:rsid w:val="00AA0493"/>
    <w:rsid w:val="00AE7044"/>
    <w:rsid w:val="00AE7872"/>
    <w:rsid w:val="00AF1CCA"/>
    <w:rsid w:val="00B02506"/>
    <w:rsid w:val="00B25C57"/>
    <w:rsid w:val="00B54FE0"/>
    <w:rsid w:val="00B67717"/>
    <w:rsid w:val="00B85BE3"/>
    <w:rsid w:val="00B93782"/>
    <w:rsid w:val="00BA22A7"/>
    <w:rsid w:val="00BA5598"/>
    <w:rsid w:val="00BB40CC"/>
    <w:rsid w:val="00C174E8"/>
    <w:rsid w:val="00C32695"/>
    <w:rsid w:val="00C40846"/>
    <w:rsid w:val="00C603A7"/>
    <w:rsid w:val="00C63ABF"/>
    <w:rsid w:val="00C74C45"/>
    <w:rsid w:val="00C85C1B"/>
    <w:rsid w:val="00CA190B"/>
    <w:rsid w:val="00CA30FF"/>
    <w:rsid w:val="00CC26C4"/>
    <w:rsid w:val="00CE5464"/>
    <w:rsid w:val="00CE5F44"/>
    <w:rsid w:val="00CF43FC"/>
    <w:rsid w:val="00D03629"/>
    <w:rsid w:val="00D0657E"/>
    <w:rsid w:val="00D07978"/>
    <w:rsid w:val="00D24337"/>
    <w:rsid w:val="00D45280"/>
    <w:rsid w:val="00D46A63"/>
    <w:rsid w:val="00D74C9A"/>
    <w:rsid w:val="00D75A66"/>
    <w:rsid w:val="00D820A4"/>
    <w:rsid w:val="00D938AE"/>
    <w:rsid w:val="00D94A24"/>
    <w:rsid w:val="00D970B1"/>
    <w:rsid w:val="00DA1627"/>
    <w:rsid w:val="00DA3731"/>
    <w:rsid w:val="00DA78FC"/>
    <w:rsid w:val="00DB1A23"/>
    <w:rsid w:val="00DB1D1B"/>
    <w:rsid w:val="00DB5490"/>
    <w:rsid w:val="00DC17B1"/>
    <w:rsid w:val="00DF72EA"/>
    <w:rsid w:val="00E056A8"/>
    <w:rsid w:val="00E26483"/>
    <w:rsid w:val="00E36425"/>
    <w:rsid w:val="00E412B6"/>
    <w:rsid w:val="00E41F10"/>
    <w:rsid w:val="00E51279"/>
    <w:rsid w:val="00E613EF"/>
    <w:rsid w:val="00E804B4"/>
    <w:rsid w:val="00E8330B"/>
    <w:rsid w:val="00E91B7A"/>
    <w:rsid w:val="00E94904"/>
    <w:rsid w:val="00EA00F6"/>
    <w:rsid w:val="00EB2FF1"/>
    <w:rsid w:val="00EB5A48"/>
    <w:rsid w:val="00EC53B5"/>
    <w:rsid w:val="00ED1A79"/>
    <w:rsid w:val="00ED7F14"/>
    <w:rsid w:val="00EF2AEA"/>
    <w:rsid w:val="00F0091A"/>
    <w:rsid w:val="00F0744F"/>
    <w:rsid w:val="00F12502"/>
    <w:rsid w:val="00F17F31"/>
    <w:rsid w:val="00F568F7"/>
    <w:rsid w:val="00F60053"/>
    <w:rsid w:val="00F748A3"/>
    <w:rsid w:val="00F86A4C"/>
    <w:rsid w:val="00F964CC"/>
    <w:rsid w:val="00F97555"/>
    <w:rsid w:val="00FA2E93"/>
    <w:rsid w:val="00FF3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05994EF"/>
  <w14:defaultImageDpi w14:val="32767"/>
  <w15:chartTrackingRefBased/>
  <w15:docId w15:val="{89F07A91-E611-4D29-9ADC-88A45CF8B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2B4F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2B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2B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2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2B4F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5D2992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D2992"/>
    <w:rPr>
      <w:rFonts w:ascii="等线" w:eastAsia="等线" w:hAnsi="等线"/>
      <w:noProof/>
      <w:sz w:val="20"/>
      <w14:ligatures w14:val="none"/>
    </w:rPr>
  </w:style>
  <w:style w:type="paragraph" w:customStyle="1" w:styleId="EndNoteBibliographyTitle">
    <w:name w:val="EndNote Bibliography Title"/>
    <w:basedOn w:val="a"/>
    <w:link w:val="EndNoteBibliographyTitle0"/>
    <w:rsid w:val="00BA22A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EndNoteBibliography0"/>
    <w:link w:val="EndNoteBibliographyTitle"/>
    <w:rsid w:val="00BA22A7"/>
    <w:rPr>
      <w:rFonts w:ascii="等线" w:eastAsia="等线" w:hAnsi="等线"/>
      <w:noProof/>
      <w:sz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9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1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5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6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8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1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68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2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FC8469-B270-433B-82E5-4B0C411E5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675</Words>
  <Characters>3852</Characters>
  <Application>Microsoft Office Word</Application>
  <DocSecurity>0</DocSecurity>
  <Lines>32</Lines>
  <Paragraphs>9</Paragraphs>
  <ScaleCrop>false</ScaleCrop>
  <Company/>
  <LinksUpToDate>false</LinksUpToDate>
  <CharactersWithSpaces>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Nicaiya Xia</dc:creator>
  <cp:keywords/>
  <dc:description/>
  <cp:lastModifiedBy>Nicaiya Xia</cp:lastModifiedBy>
  <cp:revision>5</cp:revision>
  <dcterms:created xsi:type="dcterms:W3CDTF">2024-07-28T12:28:00Z</dcterms:created>
  <dcterms:modified xsi:type="dcterms:W3CDTF">2024-08-19T15:41:00Z</dcterms:modified>
</cp:coreProperties>
</file>