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EE43D" w14:textId="77777777" w:rsidR="00783086" w:rsidRPr="00C1247F" w:rsidRDefault="00783086" w:rsidP="00783086">
      <w:pPr>
        <w:spacing w:line="480" w:lineRule="auto"/>
        <w:jc w:val="both"/>
        <w:rPr>
          <w:rFonts w:ascii="Arial" w:hAnsi="Arial" w:cs="Arial"/>
          <w:b/>
          <w:bCs/>
          <w:sz w:val="22"/>
          <w:szCs w:val="22"/>
        </w:rPr>
      </w:pPr>
      <w:r w:rsidRPr="00C1247F">
        <w:rPr>
          <w:rFonts w:ascii="Arial" w:hAnsi="Arial" w:cs="Arial"/>
          <w:b/>
          <w:bCs/>
          <w:sz w:val="22"/>
          <w:szCs w:val="22"/>
        </w:rPr>
        <w:t>Supplementary information</w:t>
      </w:r>
      <w:r>
        <w:rPr>
          <w:rFonts w:ascii="Arial" w:hAnsi="Arial" w:cs="Arial"/>
          <w:b/>
          <w:bCs/>
          <w:sz w:val="22"/>
          <w:szCs w:val="22"/>
        </w:rPr>
        <w:t xml:space="preserve"> - </w:t>
      </w:r>
      <w:r w:rsidRPr="00C1247F">
        <w:rPr>
          <w:rFonts w:ascii="Arial" w:hAnsi="Arial" w:cs="Arial"/>
          <w:b/>
          <w:bCs/>
          <w:sz w:val="22"/>
          <w:szCs w:val="22"/>
        </w:rPr>
        <w:t>Supplementary methods</w:t>
      </w:r>
    </w:p>
    <w:p w14:paraId="27F6C57D" w14:textId="77777777" w:rsidR="00783086" w:rsidRPr="00C1247F" w:rsidRDefault="00783086" w:rsidP="00783086">
      <w:pPr>
        <w:spacing w:line="480" w:lineRule="auto"/>
        <w:jc w:val="both"/>
        <w:rPr>
          <w:rFonts w:ascii="Arial" w:hAnsi="Arial" w:cs="Arial"/>
          <w:sz w:val="22"/>
          <w:szCs w:val="22"/>
        </w:rPr>
      </w:pPr>
    </w:p>
    <w:p w14:paraId="41031145" w14:textId="77777777" w:rsidR="00783086" w:rsidRPr="00C1247F" w:rsidRDefault="00783086" w:rsidP="00783086">
      <w:pPr>
        <w:spacing w:line="480" w:lineRule="auto"/>
        <w:jc w:val="both"/>
        <w:rPr>
          <w:rFonts w:ascii="Arial" w:hAnsi="Arial" w:cs="Arial"/>
          <w:b/>
          <w:bCs/>
          <w:sz w:val="22"/>
          <w:szCs w:val="22"/>
        </w:rPr>
      </w:pPr>
      <w:r w:rsidRPr="00C1247F">
        <w:rPr>
          <w:rFonts w:ascii="Arial" w:hAnsi="Arial" w:cs="Arial"/>
          <w:b/>
          <w:bCs/>
          <w:sz w:val="22"/>
          <w:szCs w:val="22"/>
        </w:rPr>
        <w:t xml:space="preserve">CQUIN - HES data linkage study </w:t>
      </w:r>
    </w:p>
    <w:p w14:paraId="2DBA5B22" w14:textId="77777777" w:rsidR="00783086" w:rsidRPr="00C1247F" w:rsidRDefault="00783086" w:rsidP="00783086">
      <w:pPr>
        <w:spacing w:line="480" w:lineRule="auto"/>
        <w:jc w:val="both"/>
        <w:rPr>
          <w:rFonts w:ascii="Arial" w:hAnsi="Arial" w:cs="Arial"/>
          <w:sz w:val="22"/>
          <w:szCs w:val="22"/>
        </w:rPr>
      </w:pPr>
      <w:r w:rsidRPr="00C1247F">
        <w:rPr>
          <w:rFonts w:ascii="Arial" w:hAnsi="Arial" w:cs="Arial"/>
          <w:sz w:val="22"/>
          <w:szCs w:val="22"/>
        </w:rPr>
        <w:t xml:space="preserve">In 2018, the Department of Health and Social Care (DHSC) commissioned Public Health England (PHE), in collaboration with NHS England (NHSE), to assess the feasibility and validity of using information collected by acute Trusts under Commissioning for Quality and Innovation (CQUIN) programme for sepsis surveillance. The dataset created through this work was utilised in this reported study. </w:t>
      </w:r>
    </w:p>
    <w:p w14:paraId="614703BD" w14:textId="77777777" w:rsidR="00783086" w:rsidRPr="00C1247F" w:rsidRDefault="00783086" w:rsidP="00783086">
      <w:pPr>
        <w:spacing w:line="480" w:lineRule="auto"/>
        <w:jc w:val="both"/>
        <w:rPr>
          <w:rFonts w:ascii="Arial" w:hAnsi="Arial" w:cs="Arial"/>
          <w:sz w:val="22"/>
          <w:szCs w:val="22"/>
        </w:rPr>
      </w:pPr>
    </w:p>
    <w:p w14:paraId="7C674212" w14:textId="77777777" w:rsidR="00783086" w:rsidRPr="00C1247F" w:rsidRDefault="00783086" w:rsidP="00783086">
      <w:pPr>
        <w:spacing w:line="480" w:lineRule="auto"/>
        <w:jc w:val="both"/>
        <w:rPr>
          <w:rFonts w:ascii="Arial" w:hAnsi="Arial" w:cs="Arial"/>
          <w:sz w:val="22"/>
          <w:szCs w:val="22"/>
        </w:rPr>
      </w:pPr>
      <w:r w:rsidRPr="00C1247F">
        <w:rPr>
          <w:rFonts w:ascii="Arial" w:hAnsi="Arial" w:cs="Arial"/>
          <w:sz w:val="22"/>
          <w:szCs w:val="22"/>
        </w:rPr>
        <w:t xml:space="preserve">In April 2018, a survey was conducted to ascertain if and what data was collected by hospital trusts to monitor sepsis in CQUIN. Trusts were included if they had provided at least one CQUIN 2a indicator submission to NHSE since its inception in 2015. Indicator 2a measured the proportion of emergency admissions who were eligible for sepsis screening and were subsequently screened for sepsis by a senior clinical decision maker; indicator 2b measured antibiotic administration for sepsis patients </w:t>
      </w:r>
      <w:r w:rsidRPr="00C1247F">
        <w:rPr>
          <w:rFonts w:ascii="Arial" w:hAnsi="Arial" w:cs="Arial"/>
          <w:sz w:val="22"/>
          <w:szCs w:val="22"/>
        </w:rPr>
        <w:fldChar w:fldCharType="begin"/>
      </w:r>
      <w:r w:rsidRPr="00C1247F">
        <w:rPr>
          <w:rFonts w:ascii="Arial" w:hAnsi="Arial" w:cs="Arial"/>
          <w:sz w:val="22"/>
          <w:szCs w:val="22"/>
        </w:rPr>
        <w:instrText xml:space="preserve"> ADDIN EN.CITE &lt;EndNote&gt;&lt;Cite&gt;&lt;Author&gt;NHS England&lt;/Author&gt;&lt;RecNum&gt;443&lt;/RecNum&gt;&lt;DisplayText&gt;(35)&lt;/DisplayText&gt;&lt;record&gt;&lt;rec-number&gt;443&lt;/rec-number&gt;&lt;foreign-keys&gt;&lt;key app="EN" db-id="xx222xvdyrarx5e99avv09p8dp9s0tzfp0sv" timestamp="1710506867" guid="a6628baa-fa0c-494c-b0c1-70559a297443"&gt;443&lt;/key&gt;&lt;/foreign-keys&gt;&lt;ref-type name="Web Page"&gt;12&lt;/ref-type&gt;&lt;contributors&gt;&lt;authors&gt;&lt;author&gt;NHS England,&lt;/author&gt;&lt;/authors&gt;&lt;/contributors&gt;&lt;titles&gt;&lt;title&gt;CQUIN Indicator Specification Information on CQUIN 2017/18 - 2018/19&lt;/title&gt;&lt;/titles&gt;&lt;number&gt;16/08/2024&lt;/number&gt;&lt;dates&gt;&lt;/dates&gt;&lt;urls&gt;&lt;related-urls&gt;&lt;url&gt;https://www.england.nhs.uk/wp-content/uploads/2017/07/cquin-indicator-specification-information-january-2019.pdf&lt;/url&gt;&lt;/related-urls&gt;&lt;/urls&gt;&lt;custom2&gt;Accessed 16/08/2024&lt;/custom2&gt;&lt;/record&gt;&lt;/Cite&gt;&lt;/EndNote&gt;</w:instrText>
      </w:r>
      <w:r w:rsidRPr="00C1247F">
        <w:rPr>
          <w:rFonts w:ascii="Arial" w:hAnsi="Arial" w:cs="Arial"/>
          <w:sz w:val="22"/>
          <w:szCs w:val="22"/>
        </w:rPr>
        <w:fldChar w:fldCharType="separate"/>
      </w:r>
      <w:r w:rsidRPr="00C1247F">
        <w:rPr>
          <w:rFonts w:ascii="Arial" w:hAnsi="Arial" w:cs="Arial"/>
          <w:noProof/>
          <w:sz w:val="22"/>
          <w:szCs w:val="22"/>
        </w:rPr>
        <w:t>(35)</w:t>
      </w:r>
      <w:r w:rsidRPr="00C1247F">
        <w:rPr>
          <w:rFonts w:ascii="Arial" w:hAnsi="Arial" w:cs="Arial"/>
          <w:sz w:val="22"/>
          <w:szCs w:val="22"/>
        </w:rPr>
        <w:fldChar w:fldCharType="end"/>
      </w:r>
      <w:r w:rsidRPr="00C1247F">
        <w:rPr>
          <w:rFonts w:ascii="Arial" w:hAnsi="Arial" w:cs="Arial"/>
          <w:sz w:val="22"/>
          <w:szCs w:val="22"/>
        </w:rPr>
        <w:t xml:space="preserve">. An electronic survey, hosted on Select Survey, was emailed to the NHSE CQUIN submission contact in each trust. The survey collected </w:t>
      </w:r>
      <w:proofErr w:type="spellStart"/>
      <w:r w:rsidRPr="00C1247F">
        <w:rPr>
          <w:rFonts w:ascii="Arial" w:hAnsi="Arial" w:cs="Arial"/>
          <w:sz w:val="22"/>
          <w:szCs w:val="22"/>
        </w:rPr>
        <w:t>i</w:t>
      </w:r>
      <w:proofErr w:type="spellEnd"/>
      <w:r w:rsidRPr="00C1247F">
        <w:rPr>
          <w:rFonts w:ascii="Arial" w:hAnsi="Arial" w:cs="Arial"/>
          <w:sz w:val="22"/>
          <w:szCs w:val="22"/>
        </w:rPr>
        <w:t>) information on the availability of patient level data ii) sepsis definitions used for data collection iii) whether data were stored electronically iv) data items collected v) criteria for inclusion of patients in CQUIN. CQUIN and HES datasets were then linked together to allow comparison between the CQUIN sepsis indicator and HES data for measuring sepsis in England. The project was approved by the PHE Research Ethics and Governance Group, approval number NR012, and by the PHE National Infection Service Caldicott Review Panel.</w:t>
      </w:r>
    </w:p>
    <w:p w14:paraId="205EB9A2" w14:textId="77777777" w:rsidR="00783086" w:rsidRPr="00C1247F" w:rsidRDefault="00783086" w:rsidP="00783086">
      <w:pPr>
        <w:spacing w:line="480" w:lineRule="auto"/>
        <w:jc w:val="both"/>
        <w:rPr>
          <w:rFonts w:ascii="Arial" w:hAnsi="Arial" w:cs="Arial"/>
          <w:sz w:val="22"/>
          <w:szCs w:val="22"/>
        </w:rPr>
      </w:pPr>
    </w:p>
    <w:p w14:paraId="6D043086" w14:textId="77777777" w:rsidR="00783086" w:rsidRPr="00C1247F" w:rsidRDefault="00783086" w:rsidP="00783086">
      <w:pPr>
        <w:spacing w:line="480" w:lineRule="auto"/>
        <w:jc w:val="both"/>
        <w:rPr>
          <w:rFonts w:ascii="Arial" w:hAnsi="Arial" w:cs="Arial"/>
          <w:b/>
          <w:bCs/>
          <w:sz w:val="22"/>
          <w:szCs w:val="22"/>
        </w:rPr>
      </w:pPr>
      <w:r w:rsidRPr="00C1247F">
        <w:rPr>
          <w:rFonts w:ascii="Arial" w:hAnsi="Arial" w:cs="Arial"/>
          <w:b/>
          <w:bCs/>
          <w:sz w:val="22"/>
          <w:szCs w:val="22"/>
        </w:rPr>
        <w:t>Data collection</w:t>
      </w:r>
    </w:p>
    <w:p w14:paraId="54C6791E" w14:textId="77777777" w:rsidR="00783086" w:rsidRPr="00C1247F" w:rsidRDefault="00783086" w:rsidP="00783086">
      <w:pPr>
        <w:spacing w:line="480" w:lineRule="auto"/>
        <w:jc w:val="both"/>
        <w:rPr>
          <w:rFonts w:ascii="Arial" w:hAnsi="Arial" w:cs="Arial"/>
          <w:sz w:val="22"/>
          <w:szCs w:val="22"/>
        </w:rPr>
      </w:pPr>
      <w:r w:rsidRPr="00C1247F">
        <w:rPr>
          <w:rFonts w:ascii="Arial" w:hAnsi="Arial" w:cs="Arial"/>
          <w:sz w:val="22"/>
          <w:szCs w:val="22"/>
        </w:rPr>
        <w:t>A sampled survey design was used to ensure that the collected data were sufficiently complete and representative. To provide a representative sample, a two-stage random cluster sampling was used. The primary sampling unit was NHS trust. Trusts were included if they met the following criteria: (</w:t>
      </w:r>
      <w:proofErr w:type="spellStart"/>
      <w:r w:rsidRPr="00C1247F">
        <w:rPr>
          <w:rFonts w:ascii="Arial" w:hAnsi="Arial" w:cs="Arial"/>
          <w:sz w:val="22"/>
          <w:szCs w:val="22"/>
        </w:rPr>
        <w:t>i</w:t>
      </w:r>
      <w:proofErr w:type="spellEnd"/>
      <w:r w:rsidRPr="00C1247F">
        <w:rPr>
          <w:rFonts w:ascii="Arial" w:hAnsi="Arial" w:cs="Arial"/>
          <w:sz w:val="22"/>
          <w:szCs w:val="22"/>
        </w:rPr>
        <w:t xml:space="preserve">): patient level data available from CQUIN, (ii) dataset stored electronically </w:t>
      </w:r>
      <w:r w:rsidRPr="00C1247F">
        <w:rPr>
          <w:rFonts w:ascii="Arial" w:hAnsi="Arial" w:cs="Arial"/>
          <w:sz w:val="22"/>
          <w:szCs w:val="22"/>
        </w:rPr>
        <w:lastRenderedPageBreak/>
        <w:t>and (iii) collection of at least one of: NHS number, full name and/or date of birth. The secondary sample unit were patients recorded within the trusts local CQUIN dataset who had recorded: (</w:t>
      </w:r>
      <w:proofErr w:type="spellStart"/>
      <w:r w:rsidRPr="00C1247F">
        <w:rPr>
          <w:rFonts w:ascii="Arial" w:hAnsi="Arial" w:cs="Arial"/>
          <w:sz w:val="22"/>
          <w:szCs w:val="22"/>
        </w:rPr>
        <w:t>i</w:t>
      </w:r>
      <w:proofErr w:type="spellEnd"/>
      <w:r w:rsidRPr="00C1247F">
        <w:rPr>
          <w:rFonts w:ascii="Arial" w:hAnsi="Arial" w:cs="Arial"/>
          <w:sz w:val="22"/>
          <w:szCs w:val="22"/>
        </w:rPr>
        <w:t xml:space="preserve">) NHS number and/or name and date of birth, (ii) a date pertaining to the sepsis admission, (iii) information on the outcome of the sepsis screen and (iv) were locally sampled during financial year 2017/18. Financial year 2017/18 was chosen as all trusts could provide at least one quarter worth of data during this period. </w:t>
      </w:r>
    </w:p>
    <w:p w14:paraId="5D21583A" w14:textId="77777777" w:rsidR="00783086" w:rsidRPr="00C1247F" w:rsidRDefault="00783086" w:rsidP="00783086">
      <w:pPr>
        <w:spacing w:line="480" w:lineRule="auto"/>
        <w:jc w:val="both"/>
        <w:rPr>
          <w:rFonts w:ascii="Arial" w:hAnsi="Arial" w:cs="Arial"/>
          <w:sz w:val="22"/>
          <w:szCs w:val="22"/>
        </w:rPr>
      </w:pPr>
    </w:p>
    <w:p w14:paraId="63428B39" w14:textId="77777777" w:rsidR="00783086" w:rsidRPr="00C1247F" w:rsidRDefault="00783086" w:rsidP="00783086">
      <w:pPr>
        <w:spacing w:line="480" w:lineRule="auto"/>
        <w:jc w:val="both"/>
        <w:rPr>
          <w:rFonts w:ascii="Arial" w:hAnsi="Arial" w:cs="Arial"/>
          <w:sz w:val="22"/>
          <w:szCs w:val="22"/>
        </w:rPr>
      </w:pPr>
      <w:bookmarkStart w:id="0" w:name="_Hlk172373571"/>
      <w:r w:rsidRPr="00C1247F">
        <w:rPr>
          <w:rFonts w:ascii="Arial" w:hAnsi="Arial" w:cs="Arial"/>
          <w:sz w:val="22"/>
          <w:szCs w:val="22"/>
        </w:rPr>
        <w:t xml:space="preserve">The sample size was calculated using the following parameters, estimated proportion 0.35, confidence 0.95, error 0.05, and inter-cluster correlation coefficient 0.1, to allow proportions to be estimated with +/- 5% precision. </w:t>
      </w:r>
      <w:bookmarkEnd w:id="0"/>
      <w:r w:rsidRPr="00C1247F">
        <w:rPr>
          <w:rFonts w:ascii="Arial" w:hAnsi="Arial" w:cs="Arial"/>
          <w:sz w:val="22"/>
          <w:szCs w:val="22"/>
        </w:rPr>
        <w:t>The sample size for the primary and secondary sampling units included a 10% inflation for non-responding trusts and patients that could not be linked to HES. The final sample size was 4730 (110 persons across 43 clusters) patients. Information from the survey was used to assess whether trusts met the inclusion criteria for both primary and secondary sample units. Simple random sampling for the primary sampling unit was used to select 43 trusts from all eligible trusts (n=64). Sampled trusts were invited to participate by email and requested to provide a copy of their CQUIN dataset and provide a definition for each variable included in their local CQUIN dataset.</w:t>
      </w:r>
    </w:p>
    <w:p w14:paraId="0AE407F7" w14:textId="77777777" w:rsidR="00783086" w:rsidRPr="00C1247F" w:rsidRDefault="00783086" w:rsidP="00783086">
      <w:pPr>
        <w:spacing w:line="480" w:lineRule="auto"/>
        <w:jc w:val="both"/>
        <w:rPr>
          <w:rFonts w:ascii="Arial" w:hAnsi="Arial" w:cs="Arial"/>
          <w:b/>
          <w:bCs/>
          <w:sz w:val="22"/>
          <w:szCs w:val="22"/>
        </w:rPr>
      </w:pPr>
    </w:p>
    <w:p w14:paraId="691244AD" w14:textId="77777777" w:rsidR="00783086" w:rsidRPr="00C1247F" w:rsidRDefault="00783086" w:rsidP="00783086">
      <w:pPr>
        <w:spacing w:line="480" w:lineRule="auto"/>
        <w:jc w:val="both"/>
        <w:rPr>
          <w:rFonts w:ascii="Arial" w:hAnsi="Arial" w:cs="Arial"/>
          <w:b/>
          <w:bCs/>
          <w:sz w:val="22"/>
          <w:szCs w:val="22"/>
        </w:rPr>
      </w:pPr>
      <w:r w:rsidRPr="00C1247F">
        <w:rPr>
          <w:rFonts w:ascii="Arial" w:hAnsi="Arial" w:cs="Arial"/>
          <w:b/>
          <w:bCs/>
          <w:sz w:val="22"/>
          <w:szCs w:val="22"/>
        </w:rPr>
        <w:t>Data linkage</w:t>
      </w:r>
    </w:p>
    <w:p w14:paraId="7CE198A8" w14:textId="77777777" w:rsidR="00783086" w:rsidRPr="00C1247F" w:rsidRDefault="00783086" w:rsidP="00783086">
      <w:pPr>
        <w:spacing w:line="480" w:lineRule="auto"/>
        <w:jc w:val="both"/>
        <w:rPr>
          <w:rFonts w:ascii="Arial" w:hAnsi="Arial" w:cs="Arial"/>
          <w:sz w:val="22"/>
          <w:szCs w:val="22"/>
        </w:rPr>
      </w:pPr>
      <w:r w:rsidRPr="00C1247F">
        <w:rPr>
          <w:rFonts w:ascii="Arial" w:hAnsi="Arial" w:cs="Arial"/>
          <w:sz w:val="22"/>
          <w:szCs w:val="22"/>
        </w:rPr>
        <w:t xml:space="preserve">Records with a missing NHS number with were traced through NHS Digital’s Demographic Batch Service (DBS) to secure </w:t>
      </w:r>
      <w:proofErr w:type="gramStart"/>
      <w:r w:rsidRPr="00C1247F">
        <w:rPr>
          <w:rFonts w:ascii="Arial" w:hAnsi="Arial" w:cs="Arial"/>
          <w:sz w:val="22"/>
          <w:szCs w:val="22"/>
        </w:rPr>
        <w:t>a</w:t>
      </w:r>
      <w:proofErr w:type="gramEnd"/>
      <w:r w:rsidRPr="00C1247F">
        <w:rPr>
          <w:rFonts w:ascii="Arial" w:hAnsi="Arial" w:cs="Arial"/>
          <w:sz w:val="22"/>
          <w:szCs w:val="22"/>
        </w:rPr>
        <w:t xml:space="preserve"> NHS number. Data were then linked deterministically, 1 CQUIN record to multiple HES episodes, using NHS number. HES episodes are defined as “periods of continuous care from a single consultant” [3]. </w:t>
      </w:r>
    </w:p>
    <w:p w14:paraId="75AA4FE0" w14:textId="77777777" w:rsidR="00783086" w:rsidRPr="00C1247F" w:rsidRDefault="00783086" w:rsidP="00783086">
      <w:pPr>
        <w:spacing w:line="480" w:lineRule="auto"/>
        <w:jc w:val="both"/>
        <w:rPr>
          <w:rFonts w:ascii="Arial" w:hAnsi="Arial" w:cs="Arial"/>
          <w:sz w:val="22"/>
          <w:szCs w:val="22"/>
        </w:rPr>
      </w:pPr>
    </w:p>
    <w:p w14:paraId="21C7457B" w14:textId="77777777" w:rsidR="00783086" w:rsidRPr="00C1247F" w:rsidRDefault="00783086" w:rsidP="00783086">
      <w:pPr>
        <w:spacing w:line="480" w:lineRule="auto"/>
        <w:jc w:val="both"/>
        <w:rPr>
          <w:rFonts w:ascii="Arial" w:hAnsi="Arial" w:cs="Arial"/>
          <w:sz w:val="22"/>
          <w:szCs w:val="22"/>
        </w:rPr>
      </w:pPr>
      <w:r w:rsidRPr="00C1247F">
        <w:rPr>
          <w:rFonts w:ascii="Arial" w:hAnsi="Arial" w:cs="Arial"/>
          <w:sz w:val="22"/>
          <w:szCs w:val="22"/>
        </w:rPr>
        <w:t xml:space="preserve">The linkage was then refined to a 1:1 relationship by determining the HES admission within which the CQUIN date fell. To take into account the differences between trusts in what dates were collected (date of admission, date audited or date of sepsis screen) and when data were collected (immediately after being assessed, following admission to hospital or following </w:t>
      </w:r>
      <w:r w:rsidRPr="00C1247F">
        <w:rPr>
          <w:rFonts w:ascii="Arial" w:hAnsi="Arial" w:cs="Arial"/>
          <w:sz w:val="22"/>
          <w:szCs w:val="22"/>
        </w:rPr>
        <w:lastRenderedPageBreak/>
        <w:t xml:space="preserve">routine audit) the HES episode was extended by two days (date of admission – 2 </w:t>
      </w:r>
      <w:proofErr w:type="gramStart"/>
      <w:r w:rsidRPr="00C1247F">
        <w:rPr>
          <w:rFonts w:ascii="Arial" w:hAnsi="Arial" w:cs="Arial"/>
          <w:sz w:val="22"/>
          <w:szCs w:val="22"/>
        </w:rPr>
        <w:t>day</w:t>
      </w:r>
      <w:proofErr w:type="gramEnd"/>
      <w:r w:rsidRPr="00C1247F">
        <w:rPr>
          <w:rFonts w:ascii="Arial" w:hAnsi="Arial" w:cs="Arial"/>
          <w:sz w:val="22"/>
          <w:szCs w:val="22"/>
        </w:rPr>
        <w:t xml:space="preserve"> to date of discharge + 2 days). Non-duplicate and finished consultant episodes (FCE) (time spent under a single consultant) were included in the analysis. HES variables were extracted from the admission episode except for the discharge method and length of stay, which were taken from the final episode. Data linkage was undertaken in Microsoft SQL server management studio 17 and R version 3.5.0.</w:t>
      </w:r>
    </w:p>
    <w:p w14:paraId="74C131F5" w14:textId="77777777" w:rsidR="00783086" w:rsidRPr="00C1247F" w:rsidRDefault="00783086" w:rsidP="00783086">
      <w:pPr>
        <w:spacing w:line="480" w:lineRule="auto"/>
        <w:jc w:val="both"/>
        <w:rPr>
          <w:rFonts w:ascii="Arial" w:hAnsi="Arial" w:cs="Arial"/>
          <w:sz w:val="22"/>
          <w:szCs w:val="22"/>
        </w:rPr>
      </w:pPr>
    </w:p>
    <w:p w14:paraId="32A67FA3" w14:textId="77777777" w:rsidR="00783086" w:rsidRPr="00C1247F" w:rsidRDefault="00783086" w:rsidP="00783086">
      <w:pPr>
        <w:spacing w:line="480" w:lineRule="auto"/>
        <w:jc w:val="both"/>
        <w:rPr>
          <w:rFonts w:ascii="Arial" w:hAnsi="Arial" w:cs="Arial"/>
          <w:b/>
          <w:bCs/>
          <w:sz w:val="22"/>
          <w:szCs w:val="22"/>
        </w:rPr>
      </w:pPr>
      <w:r w:rsidRPr="00C1247F">
        <w:rPr>
          <w:rFonts w:ascii="Arial" w:hAnsi="Arial" w:cs="Arial"/>
          <w:b/>
          <w:bCs/>
          <w:sz w:val="22"/>
          <w:szCs w:val="22"/>
        </w:rPr>
        <w:t>Data analysis</w:t>
      </w:r>
    </w:p>
    <w:p w14:paraId="387B5EF7" w14:textId="77777777" w:rsidR="00783086" w:rsidRPr="00C1247F" w:rsidRDefault="00783086" w:rsidP="00783086">
      <w:pPr>
        <w:spacing w:line="480" w:lineRule="auto"/>
        <w:jc w:val="both"/>
        <w:rPr>
          <w:rFonts w:ascii="Arial" w:hAnsi="Arial" w:cs="Arial"/>
          <w:sz w:val="22"/>
          <w:szCs w:val="22"/>
        </w:rPr>
      </w:pPr>
      <w:r w:rsidRPr="00C1247F">
        <w:rPr>
          <w:rFonts w:ascii="Arial" w:hAnsi="Arial" w:cs="Arial"/>
          <w:sz w:val="22"/>
          <w:szCs w:val="22"/>
        </w:rPr>
        <w:t xml:space="preserve">Survey data were summarised using counts and proportions. In the CQUIN – HES linked dataset, cases were classified into three categories: </w:t>
      </w:r>
      <w:proofErr w:type="spellStart"/>
      <w:r w:rsidRPr="00C1247F">
        <w:rPr>
          <w:rFonts w:ascii="Arial" w:hAnsi="Arial" w:cs="Arial"/>
          <w:sz w:val="22"/>
          <w:szCs w:val="22"/>
        </w:rPr>
        <w:t>i</w:t>
      </w:r>
      <w:proofErr w:type="spellEnd"/>
      <w:r w:rsidRPr="00C1247F">
        <w:rPr>
          <w:rFonts w:ascii="Arial" w:hAnsi="Arial" w:cs="Arial"/>
          <w:sz w:val="22"/>
          <w:szCs w:val="22"/>
        </w:rPr>
        <w:t xml:space="preserve">) sepsis CQUIN screen positive with a sepsis specific code A41/40 (Sepsis Code) in HES, ii) CQUIN screen positive with a SoS code in HES but no sepsis specific code A41/40 (SoS Code) iii) CQUIN screen positive without a SoS codes (including sepsis specific code A41/40) (CQUIN only) and iv) CQUIN screen negative (CQUIN negative). Continuous variables, depending on their distribution, were analysed using descriptive statistics (mean, median, inter quartile range, max, min). Categorical variables were analysed by calculating frequencies and percentages. Agreement between CQUIN sepsis screen and either the presence of a HES sepsis ICD10 code (A41 or A40) or SoS code was measured using inter-rater reliability. The degree of agreement was estimated by Cohen’s Kappa and corresponding 95% confidence intervals (CI). Cohen’s Kappa was interpreted with the following categories: Less than 0.20 “poor agreement”, 0.20 to 0.40 “fair agreement”, 0.40 to 0.60 “moderate agreement”, 0.60 to 0.80 “good agreement” and 0.80 to 1.00 “very good agreement”. The presence of sepsis specific ICD10 codes (A41/40) and SoS codes in CQUIN positive and negative screen persons was compared using </w:t>
      </w:r>
      <w:proofErr w:type="spellStart"/>
      <w:r w:rsidRPr="00C1247F">
        <w:rPr>
          <w:rFonts w:ascii="Arial" w:hAnsi="Arial" w:cs="Arial"/>
          <w:sz w:val="22"/>
          <w:szCs w:val="22"/>
        </w:rPr>
        <w:t>McNemar's</w:t>
      </w:r>
      <w:proofErr w:type="spellEnd"/>
      <w:r w:rsidRPr="00C1247F">
        <w:rPr>
          <w:rFonts w:ascii="Arial" w:hAnsi="Arial" w:cs="Arial"/>
          <w:sz w:val="22"/>
          <w:szCs w:val="22"/>
        </w:rPr>
        <w:t xml:space="preserve"> Chi-squared test with continuity correction. Data analysis was undertaken using R version 3.5.0.</w:t>
      </w:r>
    </w:p>
    <w:p w14:paraId="6FF6FFE5" w14:textId="77777777" w:rsidR="00783086" w:rsidRPr="00C1247F" w:rsidRDefault="00783086" w:rsidP="00783086">
      <w:pPr>
        <w:spacing w:line="480" w:lineRule="auto"/>
        <w:jc w:val="both"/>
        <w:rPr>
          <w:rFonts w:ascii="Arial" w:hAnsi="Arial" w:cs="Arial"/>
          <w:sz w:val="22"/>
          <w:szCs w:val="22"/>
        </w:rPr>
      </w:pPr>
    </w:p>
    <w:p w14:paraId="71C3F00C" w14:textId="77777777" w:rsidR="00783086" w:rsidRPr="00C1247F" w:rsidRDefault="00783086" w:rsidP="00783086">
      <w:pPr>
        <w:spacing w:line="480" w:lineRule="auto"/>
        <w:jc w:val="both"/>
        <w:rPr>
          <w:rFonts w:ascii="Arial" w:hAnsi="Arial" w:cs="Arial"/>
          <w:b/>
          <w:bCs/>
          <w:sz w:val="22"/>
          <w:szCs w:val="22"/>
        </w:rPr>
      </w:pPr>
      <w:r w:rsidRPr="00C1247F">
        <w:rPr>
          <w:rFonts w:ascii="Arial" w:hAnsi="Arial" w:cs="Arial"/>
          <w:b/>
          <w:bCs/>
          <w:sz w:val="22"/>
          <w:szCs w:val="22"/>
        </w:rPr>
        <w:t>Survey results and final datasets</w:t>
      </w:r>
    </w:p>
    <w:p w14:paraId="04DCDFF1" w14:textId="77777777" w:rsidR="00783086" w:rsidRPr="00C1247F" w:rsidRDefault="00783086" w:rsidP="00783086">
      <w:pPr>
        <w:spacing w:line="480" w:lineRule="auto"/>
        <w:jc w:val="both"/>
        <w:rPr>
          <w:rFonts w:ascii="Arial" w:hAnsi="Arial" w:cs="Arial"/>
          <w:sz w:val="22"/>
          <w:szCs w:val="22"/>
        </w:rPr>
      </w:pPr>
      <w:r w:rsidRPr="00C1247F">
        <w:rPr>
          <w:rFonts w:ascii="Arial" w:hAnsi="Arial" w:cs="Arial"/>
          <w:sz w:val="22"/>
          <w:szCs w:val="22"/>
        </w:rPr>
        <w:lastRenderedPageBreak/>
        <w:t xml:space="preserve">There were 107/135 trusts recorded as having submitted data to NHSE as part of the CQUIN programme and 99 of these (n=99/107; 93%) responded to the survey. Sixty-four trusts reported arrangements that met the study inclusion criteria (n=64/99; 65%) and of these the majority (n=60/64;94%) reported using a standard sepsis case definition. The case definitions used varied by trust and were usually based on a published scoring system (NEWS, </w:t>
      </w:r>
      <w:proofErr w:type="spellStart"/>
      <w:r w:rsidRPr="00C1247F">
        <w:rPr>
          <w:rFonts w:ascii="Arial" w:hAnsi="Arial" w:cs="Arial"/>
          <w:sz w:val="22"/>
          <w:szCs w:val="22"/>
        </w:rPr>
        <w:t>qSOFA</w:t>
      </w:r>
      <w:proofErr w:type="spellEnd"/>
      <w:r w:rsidRPr="00C1247F">
        <w:rPr>
          <w:rFonts w:ascii="Arial" w:hAnsi="Arial" w:cs="Arial"/>
          <w:sz w:val="22"/>
          <w:szCs w:val="22"/>
        </w:rPr>
        <w:t xml:space="preserve">, NICE or SIRS). </w:t>
      </w:r>
      <w:proofErr w:type="gramStart"/>
      <w:r w:rsidRPr="00C1247F">
        <w:rPr>
          <w:rFonts w:ascii="Arial" w:hAnsi="Arial" w:cs="Arial"/>
          <w:sz w:val="22"/>
          <w:szCs w:val="22"/>
        </w:rPr>
        <w:t>The majority of</w:t>
      </w:r>
      <w:proofErr w:type="gramEnd"/>
      <w:r w:rsidRPr="00C1247F">
        <w:rPr>
          <w:rFonts w:ascii="Arial" w:hAnsi="Arial" w:cs="Arial"/>
          <w:sz w:val="22"/>
          <w:szCs w:val="22"/>
        </w:rPr>
        <w:t xml:space="preserve"> trusts (n=59/64,92%) reported using at least one published scoring system. Trusts frequently collected NHS number (n=57/64, 89%) and information on cases of suspected sepsis (sepsis positive and negative cases selected for screening as part of the CQUIN programme) (n=55/64, 86%).</w:t>
      </w:r>
    </w:p>
    <w:p w14:paraId="2887E377" w14:textId="77777777" w:rsidR="00783086" w:rsidRPr="00C1247F" w:rsidRDefault="00783086" w:rsidP="00783086">
      <w:pPr>
        <w:spacing w:line="480" w:lineRule="auto"/>
        <w:jc w:val="both"/>
        <w:rPr>
          <w:rFonts w:ascii="Arial" w:hAnsi="Arial" w:cs="Arial"/>
          <w:sz w:val="22"/>
          <w:szCs w:val="22"/>
        </w:rPr>
      </w:pPr>
    </w:p>
    <w:p w14:paraId="002E0794" w14:textId="77777777" w:rsidR="00783086" w:rsidRPr="00C1247F" w:rsidRDefault="00783086" w:rsidP="00783086">
      <w:pPr>
        <w:spacing w:line="480" w:lineRule="auto"/>
        <w:jc w:val="both"/>
        <w:rPr>
          <w:rFonts w:ascii="Arial" w:hAnsi="Arial" w:cs="Arial"/>
          <w:sz w:val="22"/>
          <w:szCs w:val="22"/>
        </w:rPr>
      </w:pPr>
      <w:r w:rsidRPr="00C1247F">
        <w:rPr>
          <w:rFonts w:ascii="Arial" w:hAnsi="Arial" w:cs="Arial"/>
          <w:sz w:val="22"/>
          <w:szCs w:val="22"/>
        </w:rPr>
        <w:t xml:space="preserve">A final sample of 110 patients for each 43 clusters (trusts) were sampled providing a total sample size of 4730 patients. Of the forty-three trusts in the random sample, 35 subsequently submitted data to PHE (81%) of which 30 (72%) trusts provided data that allowed linkage with HES. </w:t>
      </w:r>
    </w:p>
    <w:p w14:paraId="00E566DA" w14:textId="77777777" w:rsidR="00783086" w:rsidRPr="00C1247F" w:rsidRDefault="00783086" w:rsidP="00783086">
      <w:pPr>
        <w:spacing w:line="480" w:lineRule="auto"/>
        <w:jc w:val="both"/>
        <w:rPr>
          <w:rFonts w:ascii="Arial" w:hAnsi="Arial" w:cs="Arial"/>
          <w:sz w:val="22"/>
          <w:szCs w:val="22"/>
        </w:rPr>
      </w:pPr>
    </w:p>
    <w:p w14:paraId="7BA76181" w14:textId="77777777" w:rsidR="00783086" w:rsidRPr="00C1247F" w:rsidRDefault="00783086" w:rsidP="00783086">
      <w:pPr>
        <w:spacing w:line="480" w:lineRule="auto"/>
        <w:jc w:val="both"/>
        <w:rPr>
          <w:rFonts w:ascii="Arial" w:hAnsi="Arial" w:cs="Arial"/>
          <w:b/>
          <w:bCs/>
          <w:sz w:val="22"/>
          <w:szCs w:val="22"/>
        </w:rPr>
      </w:pPr>
      <w:r w:rsidRPr="00C1247F">
        <w:rPr>
          <w:rFonts w:ascii="Arial" w:hAnsi="Arial" w:cs="Arial"/>
          <w:b/>
          <w:bCs/>
          <w:sz w:val="22"/>
          <w:szCs w:val="22"/>
        </w:rPr>
        <w:t>Dataset availability</w:t>
      </w:r>
    </w:p>
    <w:p w14:paraId="5F5495CC" w14:textId="77777777" w:rsidR="00783086" w:rsidRPr="00C1247F" w:rsidRDefault="00783086" w:rsidP="00783086">
      <w:pPr>
        <w:spacing w:line="480" w:lineRule="auto"/>
        <w:jc w:val="both"/>
        <w:rPr>
          <w:rFonts w:ascii="Arial" w:hAnsi="Arial" w:cs="Arial"/>
          <w:sz w:val="22"/>
          <w:szCs w:val="22"/>
        </w:rPr>
      </w:pPr>
      <w:r w:rsidRPr="00C1247F">
        <w:rPr>
          <w:rFonts w:ascii="Arial" w:hAnsi="Arial" w:cs="Arial"/>
          <w:sz w:val="22"/>
          <w:szCs w:val="22"/>
        </w:rPr>
        <w:t>The datasets generated and/or analysed during these studies are not publicly available and are considered sensitive. Access to anonymised data will be considered by the corresponding author on reasonable request.</w:t>
      </w:r>
    </w:p>
    <w:p w14:paraId="4B03A2FA" w14:textId="77777777" w:rsidR="00783086" w:rsidRPr="00C1247F" w:rsidRDefault="00783086" w:rsidP="00783086">
      <w:pPr>
        <w:spacing w:line="480" w:lineRule="auto"/>
        <w:jc w:val="both"/>
        <w:rPr>
          <w:rFonts w:ascii="Arial" w:hAnsi="Arial" w:cs="Arial"/>
          <w:sz w:val="22"/>
          <w:szCs w:val="22"/>
        </w:rPr>
      </w:pPr>
    </w:p>
    <w:p w14:paraId="659031ED" w14:textId="77777777" w:rsidR="00783086" w:rsidRPr="00C1247F" w:rsidRDefault="00783086" w:rsidP="00783086">
      <w:pPr>
        <w:spacing w:line="480" w:lineRule="auto"/>
        <w:jc w:val="both"/>
        <w:rPr>
          <w:rFonts w:ascii="Arial" w:hAnsi="Arial" w:cs="Arial"/>
          <w:sz w:val="22"/>
          <w:szCs w:val="22"/>
        </w:rPr>
      </w:pPr>
      <w:r w:rsidRPr="00C1247F">
        <w:rPr>
          <w:rFonts w:ascii="Arial" w:hAnsi="Arial" w:cs="Arial"/>
          <w:sz w:val="22"/>
          <w:szCs w:val="22"/>
        </w:rPr>
        <w:t xml:space="preserve">Three datasets were compiled as part of </w:t>
      </w:r>
      <w:proofErr w:type="gramStart"/>
      <w:r w:rsidRPr="00C1247F">
        <w:rPr>
          <w:rFonts w:ascii="Arial" w:hAnsi="Arial" w:cs="Arial"/>
          <w:sz w:val="22"/>
          <w:szCs w:val="22"/>
        </w:rPr>
        <w:t>aforementioned data</w:t>
      </w:r>
      <w:proofErr w:type="gramEnd"/>
      <w:r w:rsidRPr="00C1247F">
        <w:rPr>
          <w:rFonts w:ascii="Arial" w:hAnsi="Arial" w:cs="Arial"/>
          <w:sz w:val="22"/>
          <w:szCs w:val="22"/>
        </w:rPr>
        <w:t xml:space="preserve"> linkage study: (1) the survey dataset (responses to the initial trust survey), (2) the unlinked CQUIN dataset (compiled CQUIN data not linked to HES) and (3) the study linked dataset (sampled CQUIN observations linked to HES). All datasets were checked to see whether they fell within expected ranges and formats. This was done by tabulation and calculation of descriptive statistics (range and interquartile range). Cross consistency between related variables were checked by cross tabulation. The ONS-HES linked dataset formed the basis of the dataset used in this reported study, subsequently further linked to ONS data as described in our methodology.</w:t>
      </w:r>
    </w:p>
    <w:p w14:paraId="0BD01EE7" w14:textId="296C495D" w:rsidR="007E72C8" w:rsidRPr="00DE28D2" w:rsidRDefault="00783086" w:rsidP="00DE28D2">
      <w:pPr>
        <w:spacing w:line="480" w:lineRule="auto"/>
        <w:jc w:val="both"/>
        <w:rPr>
          <w:rFonts w:ascii="Arial" w:hAnsi="Arial" w:cs="Arial"/>
          <w:sz w:val="22"/>
          <w:szCs w:val="22"/>
        </w:rPr>
      </w:pPr>
      <w:r w:rsidRPr="00C1247F">
        <w:rPr>
          <w:rFonts w:ascii="Arial" w:hAnsi="Arial" w:cs="Arial"/>
          <w:sz w:val="22"/>
          <w:szCs w:val="22"/>
        </w:rPr>
        <w:lastRenderedPageBreak/>
        <w:t>END</w:t>
      </w:r>
    </w:p>
    <w:sectPr w:rsidR="007E72C8" w:rsidRPr="00DE28D2" w:rsidSect="00E130C3">
      <w:headerReference w:type="default" r:id="rId4"/>
      <w:pgSz w:w="11900" w:h="16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9583878"/>
      <w:docPartObj>
        <w:docPartGallery w:val="Page Numbers (Top of Page)"/>
        <w:docPartUnique/>
      </w:docPartObj>
    </w:sdtPr>
    <w:sdtEndPr>
      <w:rPr>
        <w:noProof/>
      </w:rPr>
    </w:sdtEndPr>
    <w:sdtContent>
      <w:p w14:paraId="10C2BC8B" w14:textId="77777777" w:rsidR="00000000" w:rsidRDefault="0000000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9C7C942"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086"/>
    <w:rsid w:val="00382F4B"/>
    <w:rsid w:val="005F047F"/>
    <w:rsid w:val="00783086"/>
    <w:rsid w:val="007E72C8"/>
    <w:rsid w:val="00896D98"/>
    <w:rsid w:val="00CC6486"/>
    <w:rsid w:val="00D71F96"/>
    <w:rsid w:val="00DE28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04662"/>
  <w15:chartTrackingRefBased/>
  <w15:docId w15:val="{0659FE23-FF2E-4365-BCA3-D468B2946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086"/>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086"/>
    <w:pPr>
      <w:tabs>
        <w:tab w:val="center" w:pos="4680"/>
        <w:tab w:val="right" w:pos="9360"/>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783086"/>
    <w:rPr>
      <w:kern w:val="0"/>
      <w:sz w:val="24"/>
      <w:szCs w:val="24"/>
      <w14:ligatures w14:val="none"/>
    </w:rPr>
  </w:style>
  <w:style w:type="character" w:styleId="LineNumber">
    <w:name w:val="line number"/>
    <w:basedOn w:val="DefaultParagraphFont"/>
    <w:uiPriority w:val="99"/>
    <w:semiHidden/>
    <w:unhideWhenUsed/>
    <w:rsid w:val="007830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1330</Words>
  <Characters>7583</Characters>
  <Application>Microsoft Office Word</Application>
  <DocSecurity>0</DocSecurity>
  <Lines>63</Lines>
  <Paragraphs>17</Paragraphs>
  <ScaleCrop>false</ScaleCrop>
  <Company>UK Health Security Agency</Company>
  <LinksUpToDate>false</LinksUpToDate>
  <CharactersWithSpaces>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Howkins</dc:creator>
  <cp:keywords/>
  <dc:description/>
  <cp:lastModifiedBy>Josh Howkins</cp:lastModifiedBy>
  <cp:revision>2</cp:revision>
  <dcterms:created xsi:type="dcterms:W3CDTF">2024-08-19T15:22:00Z</dcterms:created>
  <dcterms:modified xsi:type="dcterms:W3CDTF">2024-08-19T15:22:00Z</dcterms:modified>
</cp:coreProperties>
</file>