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1FB65C" w14:textId="77777777" w:rsidR="00C55A01" w:rsidRPr="007578D5" w:rsidRDefault="00C55A01" w:rsidP="00C55A01">
      <w:pPr>
        <w:autoSpaceDE w:val="0"/>
        <w:autoSpaceDN w:val="0"/>
        <w:adjustRightInd w:val="0"/>
        <w:spacing w:after="0" w:line="240" w:lineRule="auto"/>
        <w:rPr>
          <w:rFonts w:cstheme="minorHAnsi"/>
          <w:sz w:val="24"/>
          <w:szCs w:val="24"/>
          <w:lang w:val="en-GB"/>
        </w:rPr>
      </w:pPr>
      <w:r w:rsidRPr="007578D5">
        <w:rPr>
          <w:rFonts w:cstheme="minorHAnsi"/>
          <w:sz w:val="24"/>
          <w:szCs w:val="24"/>
          <w:lang w:val="en-US"/>
        </w:rPr>
        <w:t xml:space="preserve">Table 1. </w:t>
      </w:r>
      <w:r w:rsidRPr="007578D5">
        <w:rPr>
          <w:rFonts w:cstheme="minorHAnsi"/>
          <w:sz w:val="24"/>
          <w:szCs w:val="24"/>
          <w:lang w:val="en-GB"/>
        </w:rPr>
        <w:t>Inclusion and exclusion criteria</w:t>
      </w:r>
    </w:p>
    <w:p w14:paraId="62A3BA5E" w14:textId="77777777" w:rsidR="00C55A01" w:rsidRPr="0001018E" w:rsidRDefault="00C55A01" w:rsidP="00C55A01">
      <w:pPr>
        <w:autoSpaceDE w:val="0"/>
        <w:autoSpaceDN w:val="0"/>
        <w:adjustRightInd w:val="0"/>
        <w:spacing w:after="0" w:line="240" w:lineRule="auto"/>
        <w:rPr>
          <w:rFonts w:cstheme="minorHAnsi"/>
          <w:b/>
          <w:bCs/>
          <w:sz w:val="24"/>
          <w:szCs w:val="24"/>
          <w:lang w:val="en-GB"/>
        </w:rPr>
      </w:pPr>
      <w:r w:rsidRPr="0001018E">
        <w:rPr>
          <w:rFonts w:cstheme="minorHAnsi"/>
          <w:b/>
          <w:bCs/>
          <w:sz w:val="24"/>
          <w:szCs w:val="24"/>
          <w:lang w:val="en-GB"/>
        </w:rPr>
        <w:t>___________________________________________________________________________</w:t>
      </w:r>
    </w:p>
    <w:p w14:paraId="3E3184E9" w14:textId="77777777" w:rsidR="00C55A01" w:rsidRPr="00251EF9" w:rsidRDefault="00C55A01" w:rsidP="00C55A01">
      <w:pPr>
        <w:autoSpaceDE w:val="0"/>
        <w:autoSpaceDN w:val="0"/>
        <w:adjustRightInd w:val="0"/>
        <w:spacing w:after="0" w:line="240" w:lineRule="auto"/>
        <w:rPr>
          <w:rFonts w:cstheme="minorHAnsi"/>
          <w:sz w:val="24"/>
          <w:szCs w:val="24"/>
          <w:lang w:val="en-GB"/>
        </w:rPr>
      </w:pPr>
      <w:r w:rsidRPr="00251EF9">
        <w:rPr>
          <w:rFonts w:cstheme="minorHAnsi"/>
          <w:i/>
          <w:sz w:val="24"/>
          <w:szCs w:val="24"/>
          <w:lang w:val="en-GB"/>
        </w:rPr>
        <w:t xml:space="preserve">Inclusion criteria </w:t>
      </w:r>
    </w:p>
    <w:p w14:paraId="0CC4B38B" w14:textId="77777777" w:rsidR="00C55A01" w:rsidRPr="00251EF9" w:rsidRDefault="00C55A01" w:rsidP="00C55A01">
      <w:pPr>
        <w:autoSpaceDE w:val="0"/>
        <w:autoSpaceDN w:val="0"/>
        <w:adjustRightInd w:val="0"/>
        <w:spacing w:after="0" w:line="240" w:lineRule="auto"/>
        <w:rPr>
          <w:rFonts w:cstheme="minorHAnsi"/>
          <w:color w:val="FF0000"/>
          <w:sz w:val="24"/>
          <w:szCs w:val="24"/>
          <w:lang w:val="en-GB"/>
        </w:rPr>
      </w:pPr>
      <w:r w:rsidRPr="00251EF9">
        <w:rPr>
          <w:rFonts w:cstheme="minorHAnsi"/>
          <w:sz w:val="24"/>
          <w:szCs w:val="24"/>
          <w:lang w:val="en-GB"/>
        </w:rPr>
        <w:t>_________________________________________________</w:t>
      </w:r>
      <w:bookmarkStart w:id="0" w:name="_Toc466969545"/>
      <w:r w:rsidRPr="00251EF9">
        <w:rPr>
          <w:rFonts w:cstheme="minorHAnsi"/>
          <w:sz w:val="24"/>
          <w:szCs w:val="24"/>
          <w:lang w:val="en-GB"/>
        </w:rPr>
        <w:t>__________________________</w:t>
      </w:r>
      <w:bookmarkEnd w:id="0"/>
    </w:p>
    <w:p w14:paraId="71288740" w14:textId="77777777" w:rsidR="00C55A01" w:rsidRPr="00251EF9" w:rsidRDefault="00C55A01" w:rsidP="00C55A01">
      <w:pPr>
        <w:pStyle w:val="Voettekst"/>
        <w:numPr>
          <w:ilvl w:val="0"/>
          <w:numId w:val="2"/>
        </w:numPr>
        <w:rPr>
          <w:rFonts w:cstheme="minorHAnsi"/>
          <w:sz w:val="24"/>
          <w:szCs w:val="24"/>
          <w:lang w:val="en-GB"/>
        </w:rPr>
      </w:pPr>
      <w:r>
        <w:rPr>
          <w:rFonts w:cstheme="minorHAnsi"/>
          <w:sz w:val="24"/>
          <w:szCs w:val="24"/>
          <w:lang w:val="en-GB"/>
        </w:rPr>
        <w:t>A persisting office BP &gt;</w:t>
      </w:r>
      <w:r w:rsidRPr="00251EF9">
        <w:rPr>
          <w:rFonts w:cstheme="minorHAnsi"/>
          <w:sz w:val="24"/>
          <w:szCs w:val="24"/>
          <w:lang w:val="en-GB"/>
        </w:rPr>
        <w:t>140/90 mmHg, measured on at least two</w:t>
      </w:r>
      <w:r>
        <w:rPr>
          <w:rFonts w:cstheme="minorHAnsi"/>
          <w:sz w:val="24"/>
          <w:szCs w:val="24"/>
          <w:lang w:val="en-GB"/>
        </w:rPr>
        <w:t xml:space="preserve"> separate</w:t>
      </w:r>
      <w:r w:rsidRPr="00251EF9">
        <w:rPr>
          <w:rFonts w:cstheme="minorHAnsi"/>
          <w:sz w:val="24"/>
          <w:szCs w:val="24"/>
          <w:lang w:val="en-GB"/>
        </w:rPr>
        <w:t xml:space="preserve"> occasions in the last year despite simultaneous prescription of three or more BP lowering drugs of different classes at adequate dosage (based on current Dutch guideline on cardiovascular risk management), with for each antihypertensive drug at least 1 prescription of 3 months.</w:t>
      </w:r>
    </w:p>
    <w:p w14:paraId="3AD9A573" w14:textId="77777777" w:rsidR="00C55A01" w:rsidRPr="00251EF9" w:rsidRDefault="00C55A01" w:rsidP="00C55A01">
      <w:pPr>
        <w:pStyle w:val="Voettekst"/>
        <w:numPr>
          <w:ilvl w:val="0"/>
          <w:numId w:val="2"/>
        </w:numPr>
        <w:rPr>
          <w:rFonts w:cstheme="minorHAnsi"/>
          <w:sz w:val="24"/>
          <w:szCs w:val="24"/>
          <w:lang w:val="en-GB"/>
        </w:rPr>
      </w:pPr>
      <w:r w:rsidRPr="00251EF9">
        <w:rPr>
          <w:rFonts w:cstheme="minorHAnsi"/>
          <w:sz w:val="24"/>
          <w:szCs w:val="24"/>
          <w:lang w:val="en-GB"/>
        </w:rPr>
        <w:t>During the inclusion consultation, the office BP should be twice &gt; 140/90 mmHg (measured according to the ‘standardized office blood pressure measurement’ in the Dutch CVRM guideline). Different classes of BP lowering drugs are defined as following with ATC codes: Direct and central anti hypertensives (C02*), diuretics (C03*), beta blocking agents (C07*), calcium channel blockers (C08*), agents acting on the renin-angiotensin system (C09*).</w:t>
      </w:r>
      <w:r w:rsidRPr="00251EF9">
        <w:rPr>
          <w:rFonts w:cstheme="minorHAnsi"/>
          <w:sz w:val="24"/>
          <w:szCs w:val="24"/>
          <w:highlight w:val="yellow"/>
          <w:lang w:val="en-GB"/>
        </w:rPr>
        <w:t xml:space="preserve">  </w:t>
      </w:r>
    </w:p>
    <w:p w14:paraId="4AAD08B7" w14:textId="77777777" w:rsidR="00C55A01" w:rsidRPr="00251EF9" w:rsidRDefault="00C55A01" w:rsidP="00C55A01">
      <w:pPr>
        <w:pStyle w:val="Voettekst"/>
        <w:numPr>
          <w:ilvl w:val="0"/>
          <w:numId w:val="2"/>
        </w:numPr>
        <w:rPr>
          <w:rFonts w:cstheme="minorHAnsi"/>
          <w:sz w:val="24"/>
          <w:szCs w:val="24"/>
          <w:lang w:val="en-GB"/>
        </w:rPr>
      </w:pPr>
      <w:r>
        <w:rPr>
          <w:rFonts w:cstheme="minorHAnsi"/>
          <w:sz w:val="24"/>
          <w:szCs w:val="24"/>
          <w:lang w:val="en-GB"/>
        </w:rPr>
        <w:t>Aged ≥</w:t>
      </w:r>
      <w:r w:rsidRPr="00251EF9">
        <w:rPr>
          <w:rFonts w:cstheme="minorHAnsi"/>
          <w:sz w:val="24"/>
          <w:szCs w:val="24"/>
          <w:lang w:val="en-GB"/>
        </w:rPr>
        <w:t>18 years and ≤80 years</w:t>
      </w:r>
    </w:p>
    <w:p w14:paraId="6B342972" w14:textId="77777777" w:rsidR="00C55A01" w:rsidRPr="00251EF9" w:rsidRDefault="00C55A01" w:rsidP="00C55A01">
      <w:pPr>
        <w:pStyle w:val="Voettekst"/>
        <w:rPr>
          <w:rFonts w:cstheme="minorHAnsi"/>
          <w:sz w:val="24"/>
          <w:szCs w:val="24"/>
          <w:lang w:val="en-GB"/>
        </w:rPr>
      </w:pPr>
      <w:r w:rsidRPr="00251EF9">
        <w:rPr>
          <w:rFonts w:cstheme="minorHAnsi"/>
          <w:sz w:val="24"/>
          <w:szCs w:val="24"/>
          <w:lang w:val="en-GB"/>
        </w:rPr>
        <w:t>___________________________________________________________________________</w:t>
      </w:r>
    </w:p>
    <w:p w14:paraId="4B26F9DE" w14:textId="77777777" w:rsidR="00C55A01" w:rsidRPr="00251EF9" w:rsidRDefault="00C55A01" w:rsidP="00C55A01">
      <w:pPr>
        <w:pStyle w:val="Voettekst"/>
        <w:rPr>
          <w:rFonts w:cstheme="minorHAnsi"/>
          <w:i/>
          <w:sz w:val="24"/>
          <w:szCs w:val="24"/>
          <w:lang w:val="en-GB"/>
        </w:rPr>
      </w:pPr>
      <w:r w:rsidRPr="00251EF9">
        <w:rPr>
          <w:rFonts w:cstheme="minorHAnsi"/>
          <w:i/>
          <w:sz w:val="24"/>
          <w:szCs w:val="24"/>
          <w:lang w:val="en-GB"/>
        </w:rPr>
        <w:t xml:space="preserve">Exclusion criteria </w:t>
      </w:r>
    </w:p>
    <w:p w14:paraId="314C9271" w14:textId="77777777" w:rsidR="00C55A01" w:rsidRPr="00251EF9" w:rsidRDefault="00C55A01" w:rsidP="00C55A01">
      <w:pPr>
        <w:pStyle w:val="Voettekst"/>
        <w:rPr>
          <w:rFonts w:cstheme="minorHAnsi"/>
          <w:sz w:val="24"/>
          <w:szCs w:val="24"/>
          <w:lang w:val="en-GB"/>
        </w:rPr>
      </w:pPr>
      <w:r w:rsidRPr="00251EF9">
        <w:rPr>
          <w:rFonts w:cstheme="minorHAnsi"/>
          <w:sz w:val="24"/>
          <w:szCs w:val="24"/>
          <w:lang w:val="en-GB"/>
        </w:rPr>
        <w:t>___________________________________________________________________________</w:t>
      </w:r>
    </w:p>
    <w:p w14:paraId="619AB5E4" w14:textId="77777777" w:rsidR="00C55A01" w:rsidRPr="00251EF9" w:rsidRDefault="00C55A01" w:rsidP="00C55A01">
      <w:pPr>
        <w:pStyle w:val="Lijstalinea"/>
        <w:numPr>
          <w:ilvl w:val="0"/>
          <w:numId w:val="1"/>
        </w:numPr>
        <w:tabs>
          <w:tab w:val="left" w:pos="284"/>
          <w:tab w:val="left" w:pos="1701"/>
        </w:tabs>
        <w:spacing w:after="0" w:line="240" w:lineRule="auto"/>
        <w:rPr>
          <w:rFonts w:cstheme="minorHAnsi"/>
          <w:sz w:val="24"/>
          <w:szCs w:val="24"/>
          <w:lang w:val="en-GB"/>
        </w:rPr>
      </w:pPr>
      <w:r>
        <w:rPr>
          <w:rFonts w:cstheme="minorHAnsi"/>
          <w:sz w:val="24"/>
          <w:szCs w:val="24"/>
          <w:lang w:val="en-GB"/>
        </w:rPr>
        <w:t>A short life expectancy (&lt;</w:t>
      </w:r>
      <w:r w:rsidRPr="00251EF9">
        <w:rPr>
          <w:rFonts w:cstheme="minorHAnsi"/>
          <w:sz w:val="24"/>
          <w:szCs w:val="24"/>
          <w:lang w:val="en-GB"/>
        </w:rPr>
        <w:t>6 months) as judged by the GP.</w:t>
      </w:r>
    </w:p>
    <w:p w14:paraId="0740D88E" w14:textId="77777777" w:rsidR="00C55A01" w:rsidRPr="00251EF9" w:rsidRDefault="00C55A01" w:rsidP="00C55A01">
      <w:pPr>
        <w:pStyle w:val="Lijstalinea"/>
        <w:numPr>
          <w:ilvl w:val="0"/>
          <w:numId w:val="1"/>
        </w:numPr>
        <w:tabs>
          <w:tab w:val="left" w:pos="284"/>
          <w:tab w:val="left" w:pos="1701"/>
        </w:tabs>
        <w:spacing w:after="0" w:line="240" w:lineRule="auto"/>
        <w:rPr>
          <w:rFonts w:cstheme="minorHAnsi"/>
          <w:sz w:val="24"/>
          <w:szCs w:val="24"/>
          <w:lang w:val="en-GB"/>
        </w:rPr>
      </w:pPr>
      <w:r w:rsidRPr="00251EF9">
        <w:rPr>
          <w:rFonts w:cstheme="minorHAnsi"/>
          <w:sz w:val="24"/>
          <w:szCs w:val="24"/>
          <w:lang w:val="en-GB"/>
        </w:rPr>
        <w:t>Inability to understand or conform to the stepwise protocol.</w:t>
      </w:r>
    </w:p>
    <w:p w14:paraId="5DC06234" w14:textId="77777777" w:rsidR="00C55A01" w:rsidRPr="00251EF9" w:rsidRDefault="00C55A01" w:rsidP="00C55A01">
      <w:pPr>
        <w:pStyle w:val="Lijstalinea"/>
        <w:numPr>
          <w:ilvl w:val="0"/>
          <w:numId w:val="1"/>
        </w:numPr>
        <w:tabs>
          <w:tab w:val="left" w:pos="284"/>
          <w:tab w:val="left" w:pos="1701"/>
        </w:tabs>
        <w:spacing w:after="0" w:line="240" w:lineRule="auto"/>
        <w:rPr>
          <w:rFonts w:cstheme="minorHAnsi"/>
          <w:sz w:val="24"/>
          <w:szCs w:val="24"/>
          <w:lang w:val="en-GB"/>
        </w:rPr>
      </w:pPr>
      <w:r w:rsidRPr="00251EF9">
        <w:rPr>
          <w:rFonts w:cstheme="minorHAnsi"/>
          <w:sz w:val="24"/>
          <w:szCs w:val="24"/>
          <w:lang w:val="en-GB"/>
        </w:rPr>
        <w:t>Unwillingness to provide a written informed consent.</w:t>
      </w:r>
    </w:p>
    <w:p w14:paraId="38843B95" w14:textId="77777777" w:rsidR="00C55A01" w:rsidRPr="00251EF9" w:rsidRDefault="00C55A01" w:rsidP="00C55A01">
      <w:pPr>
        <w:pStyle w:val="Lijstalinea"/>
        <w:numPr>
          <w:ilvl w:val="0"/>
          <w:numId w:val="1"/>
        </w:numPr>
        <w:tabs>
          <w:tab w:val="left" w:pos="284"/>
          <w:tab w:val="left" w:pos="1701"/>
        </w:tabs>
        <w:spacing w:after="0" w:line="240" w:lineRule="auto"/>
        <w:rPr>
          <w:rFonts w:cstheme="minorHAnsi"/>
          <w:sz w:val="24"/>
          <w:szCs w:val="24"/>
          <w:lang w:val="en-GB"/>
        </w:rPr>
      </w:pPr>
      <w:r w:rsidRPr="00251EF9">
        <w:rPr>
          <w:rFonts w:cstheme="minorHAnsi"/>
          <w:sz w:val="24"/>
          <w:szCs w:val="24"/>
          <w:lang w:val="en-GB"/>
        </w:rPr>
        <w:t>In case of suspicion of a hypertensive cris</w:t>
      </w:r>
      <w:r>
        <w:rPr>
          <w:rFonts w:cstheme="minorHAnsi"/>
          <w:sz w:val="24"/>
          <w:szCs w:val="24"/>
          <w:lang w:val="en-GB"/>
        </w:rPr>
        <w:t>is (a systolic blood pressure ≥</w:t>
      </w:r>
      <w:r w:rsidRPr="00251EF9">
        <w:rPr>
          <w:rFonts w:cstheme="minorHAnsi"/>
          <w:sz w:val="24"/>
          <w:szCs w:val="24"/>
          <w:lang w:val="en-GB"/>
        </w:rPr>
        <w:t>200 mmHg an</w:t>
      </w:r>
      <w:r>
        <w:rPr>
          <w:rFonts w:cstheme="minorHAnsi"/>
          <w:sz w:val="24"/>
          <w:szCs w:val="24"/>
          <w:lang w:val="en-GB"/>
        </w:rPr>
        <w:t>d/or diastolic blood pressure ≥</w:t>
      </w:r>
      <w:r w:rsidRPr="00251EF9">
        <w:rPr>
          <w:rFonts w:cstheme="minorHAnsi"/>
          <w:sz w:val="24"/>
          <w:szCs w:val="24"/>
          <w:lang w:val="en-GB"/>
        </w:rPr>
        <w:t>120 mmHg) the patient is referred for further evaluation. If a hypertensive crisis is excluded, the patient can be included in the study.</w:t>
      </w:r>
    </w:p>
    <w:p w14:paraId="43EEA30A" w14:textId="77777777" w:rsidR="00C55A01" w:rsidRPr="00251EF9" w:rsidRDefault="00C55A01" w:rsidP="00C55A01">
      <w:pPr>
        <w:pStyle w:val="Lijstalinea"/>
        <w:numPr>
          <w:ilvl w:val="0"/>
          <w:numId w:val="1"/>
        </w:numPr>
        <w:tabs>
          <w:tab w:val="left" w:pos="284"/>
          <w:tab w:val="left" w:pos="1701"/>
        </w:tabs>
        <w:spacing w:after="0" w:line="240" w:lineRule="auto"/>
        <w:rPr>
          <w:rFonts w:cstheme="minorHAnsi"/>
          <w:sz w:val="24"/>
          <w:szCs w:val="24"/>
          <w:lang w:val="en-GB"/>
        </w:rPr>
      </w:pPr>
      <w:r w:rsidRPr="00251EF9">
        <w:rPr>
          <w:rFonts w:cstheme="minorHAnsi"/>
          <w:sz w:val="24"/>
          <w:szCs w:val="24"/>
          <w:lang w:val="en-GB"/>
        </w:rPr>
        <w:t>Atrial fibrillation (because of difficulties to interpret 24-hour BP measurements).</w:t>
      </w:r>
    </w:p>
    <w:p w14:paraId="34F17D4B" w14:textId="77777777" w:rsidR="00C55A01" w:rsidRPr="00251EF9" w:rsidRDefault="00C55A01" w:rsidP="00C55A01">
      <w:pPr>
        <w:pStyle w:val="Lijstalinea"/>
        <w:numPr>
          <w:ilvl w:val="0"/>
          <w:numId w:val="1"/>
        </w:numPr>
        <w:tabs>
          <w:tab w:val="left" w:pos="284"/>
          <w:tab w:val="left" w:pos="1701"/>
        </w:tabs>
        <w:spacing w:after="0" w:line="240" w:lineRule="auto"/>
        <w:rPr>
          <w:rFonts w:cstheme="minorHAnsi"/>
          <w:sz w:val="24"/>
          <w:szCs w:val="24"/>
          <w:lang w:val="en-GB"/>
        </w:rPr>
      </w:pPr>
      <w:r w:rsidRPr="00251EF9">
        <w:rPr>
          <w:rFonts w:cstheme="minorHAnsi"/>
          <w:sz w:val="24"/>
          <w:szCs w:val="24"/>
          <w:lang w:val="en-GB"/>
        </w:rPr>
        <w:t>Pregnancy or breast feeding.</w:t>
      </w:r>
    </w:p>
    <w:p w14:paraId="2F6064BD" w14:textId="77777777" w:rsidR="00C55A01" w:rsidRPr="00251EF9" w:rsidRDefault="00C55A01" w:rsidP="00C55A01">
      <w:pPr>
        <w:numPr>
          <w:ilvl w:val="0"/>
          <w:numId w:val="1"/>
        </w:numPr>
        <w:tabs>
          <w:tab w:val="left" w:pos="284"/>
          <w:tab w:val="left" w:pos="1701"/>
        </w:tabs>
        <w:spacing w:after="0" w:line="240" w:lineRule="auto"/>
        <w:rPr>
          <w:rFonts w:cstheme="minorHAnsi"/>
          <w:sz w:val="24"/>
          <w:szCs w:val="24"/>
          <w:lang w:val="en-GB"/>
        </w:rPr>
      </w:pPr>
      <w:r w:rsidRPr="00251EF9">
        <w:rPr>
          <w:rFonts w:cstheme="minorHAnsi"/>
          <w:sz w:val="24"/>
          <w:szCs w:val="24"/>
          <w:lang w:val="en-GB"/>
        </w:rPr>
        <w:t>Severe co-morbidity, which seriously interferes with diagnostic procedures or possible treatment.</w:t>
      </w:r>
    </w:p>
    <w:p w14:paraId="22D9BC49" w14:textId="77777777" w:rsidR="00D81EC8" w:rsidRDefault="00D81EC8"/>
    <w:sectPr w:rsidR="00D81E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422E98"/>
    <w:multiLevelType w:val="hybridMultilevel"/>
    <w:tmpl w:val="125A7854"/>
    <w:lvl w:ilvl="0" w:tplc="F862522E">
      <w:start w:val="1"/>
      <w:numFmt w:val="bullet"/>
      <w:lvlText w:val="-"/>
      <w:lvlJc w:val="left"/>
      <w:pPr>
        <w:ind w:left="700" w:hanging="360"/>
      </w:pPr>
      <w:rPr>
        <w:rFonts w:ascii="Calibri" w:eastAsia="Times New Roman" w:hAnsi="Calibri" w:cs="Arial" w:hint="default"/>
      </w:rPr>
    </w:lvl>
    <w:lvl w:ilvl="1" w:tplc="04130003" w:tentative="1">
      <w:start w:val="1"/>
      <w:numFmt w:val="bullet"/>
      <w:lvlText w:val="o"/>
      <w:lvlJc w:val="left"/>
      <w:pPr>
        <w:ind w:left="1420" w:hanging="360"/>
      </w:pPr>
      <w:rPr>
        <w:rFonts w:ascii="Courier New" w:hAnsi="Courier New" w:cs="Courier New" w:hint="default"/>
      </w:rPr>
    </w:lvl>
    <w:lvl w:ilvl="2" w:tplc="04130005" w:tentative="1">
      <w:start w:val="1"/>
      <w:numFmt w:val="bullet"/>
      <w:lvlText w:val=""/>
      <w:lvlJc w:val="left"/>
      <w:pPr>
        <w:ind w:left="2140" w:hanging="360"/>
      </w:pPr>
      <w:rPr>
        <w:rFonts w:ascii="Wingdings" w:hAnsi="Wingdings" w:hint="default"/>
      </w:rPr>
    </w:lvl>
    <w:lvl w:ilvl="3" w:tplc="04130001" w:tentative="1">
      <w:start w:val="1"/>
      <w:numFmt w:val="bullet"/>
      <w:lvlText w:val=""/>
      <w:lvlJc w:val="left"/>
      <w:pPr>
        <w:ind w:left="2860" w:hanging="360"/>
      </w:pPr>
      <w:rPr>
        <w:rFonts w:ascii="Symbol" w:hAnsi="Symbol" w:hint="default"/>
      </w:rPr>
    </w:lvl>
    <w:lvl w:ilvl="4" w:tplc="04130003" w:tentative="1">
      <w:start w:val="1"/>
      <w:numFmt w:val="bullet"/>
      <w:lvlText w:val="o"/>
      <w:lvlJc w:val="left"/>
      <w:pPr>
        <w:ind w:left="3580" w:hanging="360"/>
      </w:pPr>
      <w:rPr>
        <w:rFonts w:ascii="Courier New" w:hAnsi="Courier New" w:cs="Courier New" w:hint="default"/>
      </w:rPr>
    </w:lvl>
    <w:lvl w:ilvl="5" w:tplc="04130005" w:tentative="1">
      <w:start w:val="1"/>
      <w:numFmt w:val="bullet"/>
      <w:lvlText w:val=""/>
      <w:lvlJc w:val="left"/>
      <w:pPr>
        <w:ind w:left="4300" w:hanging="360"/>
      </w:pPr>
      <w:rPr>
        <w:rFonts w:ascii="Wingdings" w:hAnsi="Wingdings" w:hint="default"/>
      </w:rPr>
    </w:lvl>
    <w:lvl w:ilvl="6" w:tplc="04130001" w:tentative="1">
      <w:start w:val="1"/>
      <w:numFmt w:val="bullet"/>
      <w:lvlText w:val=""/>
      <w:lvlJc w:val="left"/>
      <w:pPr>
        <w:ind w:left="5020" w:hanging="360"/>
      </w:pPr>
      <w:rPr>
        <w:rFonts w:ascii="Symbol" w:hAnsi="Symbol" w:hint="default"/>
      </w:rPr>
    </w:lvl>
    <w:lvl w:ilvl="7" w:tplc="04130003" w:tentative="1">
      <w:start w:val="1"/>
      <w:numFmt w:val="bullet"/>
      <w:lvlText w:val="o"/>
      <w:lvlJc w:val="left"/>
      <w:pPr>
        <w:ind w:left="5740" w:hanging="360"/>
      </w:pPr>
      <w:rPr>
        <w:rFonts w:ascii="Courier New" w:hAnsi="Courier New" w:cs="Courier New" w:hint="default"/>
      </w:rPr>
    </w:lvl>
    <w:lvl w:ilvl="8" w:tplc="04130005" w:tentative="1">
      <w:start w:val="1"/>
      <w:numFmt w:val="bullet"/>
      <w:lvlText w:val=""/>
      <w:lvlJc w:val="left"/>
      <w:pPr>
        <w:ind w:left="6460" w:hanging="360"/>
      </w:pPr>
      <w:rPr>
        <w:rFonts w:ascii="Wingdings" w:hAnsi="Wingdings" w:hint="default"/>
      </w:rPr>
    </w:lvl>
  </w:abstractNum>
  <w:abstractNum w:abstractNumId="1" w15:restartNumberingAfterBreak="0">
    <w:nsid w:val="4C023A2D"/>
    <w:multiLevelType w:val="hybridMultilevel"/>
    <w:tmpl w:val="CE90EDA2"/>
    <w:lvl w:ilvl="0" w:tplc="1C86BCF0">
      <w:numFmt w:val="bullet"/>
      <w:lvlText w:val="-"/>
      <w:lvlJc w:val="left"/>
      <w:pPr>
        <w:ind w:left="700" w:hanging="360"/>
      </w:pPr>
      <w:rPr>
        <w:rFonts w:ascii="Cambria" w:eastAsia="Times New Roman" w:hAnsi="Cambria" w:cs="Times New Roman" w:hint="default"/>
      </w:rPr>
    </w:lvl>
    <w:lvl w:ilvl="1" w:tplc="04130003">
      <w:start w:val="1"/>
      <w:numFmt w:val="bullet"/>
      <w:lvlText w:val="o"/>
      <w:lvlJc w:val="left"/>
      <w:pPr>
        <w:ind w:left="1420" w:hanging="360"/>
      </w:pPr>
      <w:rPr>
        <w:rFonts w:ascii="Courier New" w:hAnsi="Courier New" w:cs="Courier New" w:hint="default"/>
      </w:rPr>
    </w:lvl>
    <w:lvl w:ilvl="2" w:tplc="04130005" w:tentative="1">
      <w:start w:val="1"/>
      <w:numFmt w:val="bullet"/>
      <w:lvlText w:val=""/>
      <w:lvlJc w:val="left"/>
      <w:pPr>
        <w:ind w:left="2140" w:hanging="360"/>
      </w:pPr>
      <w:rPr>
        <w:rFonts w:ascii="Wingdings" w:hAnsi="Wingdings" w:hint="default"/>
      </w:rPr>
    </w:lvl>
    <w:lvl w:ilvl="3" w:tplc="04130001" w:tentative="1">
      <w:start w:val="1"/>
      <w:numFmt w:val="bullet"/>
      <w:lvlText w:val=""/>
      <w:lvlJc w:val="left"/>
      <w:pPr>
        <w:ind w:left="2860" w:hanging="360"/>
      </w:pPr>
      <w:rPr>
        <w:rFonts w:ascii="Symbol" w:hAnsi="Symbol" w:hint="default"/>
      </w:rPr>
    </w:lvl>
    <w:lvl w:ilvl="4" w:tplc="04130003" w:tentative="1">
      <w:start w:val="1"/>
      <w:numFmt w:val="bullet"/>
      <w:lvlText w:val="o"/>
      <w:lvlJc w:val="left"/>
      <w:pPr>
        <w:ind w:left="3580" w:hanging="360"/>
      </w:pPr>
      <w:rPr>
        <w:rFonts w:ascii="Courier New" w:hAnsi="Courier New" w:cs="Courier New" w:hint="default"/>
      </w:rPr>
    </w:lvl>
    <w:lvl w:ilvl="5" w:tplc="04130005" w:tentative="1">
      <w:start w:val="1"/>
      <w:numFmt w:val="bullet"/>
      <w:lvlText w:val=""/>
      <w:lvlJc w:val="left"/>
      <w:pPr>
        <w:ind w:left="4300" w:hanging="360"/>
      </w:pPr>
      <w:rPr>
        <w:rFonts w:ascii="Wingdings" w:hAnsi="Wingdings" w:hint="default"/>
      </w:rPr>
    </w:lvl>
    <w:lvl w:ilvl="6" w:tplc="04130001" w:tentative="1">
      <w:start w:val="1"/>
      <w:numFmt w:val="bullet"/>
      <w:lvlText w:val=""/>
      <w:lvlJc w:val="left"/>
      <w:pPr>
        <w:ind w:left="5020" w:hanging="360"/>
      </w:pPr>
      <w:rPr>
        <w:rFonts w:ascii="Symbol" w:hAnsi="Symbol" w:hint="default"/>
      </w:rPr>
    </w:lvl>
    <w:lvl w:ilvl="7" w:tplc="04130003" w:tentative="1">
      <w:start w:val="1"/>
      <w:numFmt w:val="bullet"/>
      <w:lvlText w:val="o"/>
      <w:lvlJc w:val="left"/>
      <w:pPr>
        <w:ind w:left="5740" w:hanging="360"/>
      </w:pPr>
      <w:rPr>
        <w:rFonts w:ascii="Courier New" w:hAnsi="Courier New" w:cs="Courier New" w:hint="default"/>
      </w:rPr>
    </w:lvl>
    <w:lvl w:ilvl="8" w:tplc="04130005" w:tentative="1">
      <w:start w:val="1"/>
      <w:numFmt w:val="bullet"/>
      <w:lvlText w:val=""/>
      <w:lvlJc w:val="left"/>
      <w:pPr>
        <w:ind w:left="6460" w:hanging="360"/>
      </w:pPr>
      <w:rPr>
        <w:rFonts w:ascii="Wingdings" w:hAnsi="Wingdings" w:hint="default"/>
      </w:rPr>
    </w:lvl>
  </w:abstractNum>
  <w:num w:numId="1" w16cid:durableId="2096318009">
    <w:abstractNumId w:val="1"/>
  </w:num>
  <w:num w:numId="2" w16cid:durableId="1827143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A01"/>
    <w:rsid w:val="0044216B"/>
    <w:rsid w:val="00C55A01"/>
    <w:rsid w:val="00D742CC"/>
    <w:rsid w:val="00D81EC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1A65EA94"/>
  <w15:chartTrackingRefBased/>
  <w15:docId w15:val="{79CE85D1-5D75-E14B-A6CC-B135EDD25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55A01"/>
    <w:pPr>
      <w:spacing w:after="200" w:line="276" w:lineRule="auto"/>
    </w:pPr>
    <w:rPr>
      <w:kern w:val="0"/>
      <w:sz w:val="22"/>
      <w:szCs w:val="22"/>
      <w14:ligatures w14:val="none"/>
    </w:rPr>
  </w:style>
  <w:style w:type="paragraph" w:styleId="Kop1">
    <w:name w:val="heading 1"/>
    <w:basedOn w:val="Standaard"/>
    <w:next w:val="Standaard"/>
    <w:link w:val="Kop1Char"/>
    <w:uiPriority w:val="9"/>
    <w:qFormat/>
    <w:rsid w:val="00C55A0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C55A0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C55A01"/>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C55A01"/>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C55A01"/>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C55A01"/>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55A01"/>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55A01"/>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55A01"/>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55A01"/>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C55A01"/>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C55A01"/>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C55A01"/>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C55A01"/>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C55A01"/>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55A01"/>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55A01"/>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55A01"/>
    <w:rPr>
      <w:rFonts w:eastAsiaTheme="majorEastAsia" w:cstheme="majorBidi"/>
      <w:color w:val="272727" w:themeColor="text1" w:themeTint="D8"/>
    </w:rPr>
  </w:style>
  <w:style w:type="paragraph" w:styleId="Titel">
    <w:name w:val="Title"/>
    <w:basedOn w:val="Standaard"/>
    <w:next w:val="Standaard"/>
    <w:link w:val="TitelChar"/>
    <w:uiPriority w:val="10"/>
    <w:qFormat/>
    <w:rsid w:val="00C55A01"/>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55A01"/>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55A01"/>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55A01"/>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55A01"/>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C55A01"/>
    <w:rPr>
      <w:i/>
      <w:iCs/>
      <w:color w:val="404040" w:themeColor="text1" w:themeTint="BF"/>
    </w:rPr>
  </w:style>
  <w:style w:type="paragraph" w:styleId="Lijstalinea">
    <w:name w:val="List Paragraph"/>
    <w:basedOn w:val="Standaard"/>
    <w:uiPriority w:val="34"/>
    <w:qFormat/>
    <w:rsid w:val="00C55A01"/>
    <w:pPr>
      <w:ind w:left="720"/>
      <w:contextualSpacing/>
    </w:pPr>
  </w:style>
  <w:style w:type="character" w:styleId="Intensievebenadrukking">
    <w:name w:val="Intense Emphasis"/>
    <w:basedOn w:val="Standaardalinea-lettertype"/>
    <w:uiPriority w:val="21"/>
    <w:qFormat/>
    <w:rsid w:val="00C55A01"/>
    <w:rPr>
      <w:i/>
      <w:iCs/>
      <w:color w:val="2F5496" w:themeColor="accent1" w:themeShade="BF"/>
    </w:rPr>
  </w:style>
  <w:style w:type="paragraph" w:styleId="Duidelijkcitaat">
    <w:name w:val="Intense Quote"/>
    <w:basedOn w:val="Standaard"/>
    <w:next w:val="Standaard"/>
    <w:link w:val="DuidelijkcitaatChar"/>
    <w:uiPriority w:val="30"/>
    <w:qFormat/>
    <w:rsid w:val="00C55A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C55A01"/>
    <w:rPr>
      <w:i/>
      <w:iCs/>
      <w:color w:val="2F5496" w:themeColor="accent1" w:themeShade="BF"/>
    </w:rPr>
  </w:style>
  <w:style w:type="character" w:styleId="Intensieveverwijzing">
    <w:name w:val="Intense Reference"/>
    <w:basedOn w:val="Standaardalinea-lettertype"/>
    <w:uiPriority w:val="32"/>
    <w:qFormat/>
    <w:rsid w:val="00C55A01"/>
    <w:rPr>
      <w:b/>
      <w:bCs/>
      <w:smallCaps/>
      <w:color w:val="2F5496" w:themeColor="accent1" w:themeShade="BF"/>
      <w:spacing w:val="5"/>
    </w:rPr>
  </w:style>
  <w:style w:type="paragraph" w:styleId="Voettekst">
    <w:name w:val="footer"/>
    <w:basedOn w:val="Standaard"/>
    <w:link w:val="VoettekstChar"/>
    <w:uiPriority w:val="99"/>
    <w:unhideWhenUsed/>
    <w:rsid w:val="00C55A0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55A01"/>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284</Words>
  <Characters>1565</Characters>
  <Application>Microsoft Office Word</Application>
  <DocSecurity>0</DocSecurity>
  <Lines>13</Lines>
  <Paragraphs>3</Paragraphs>
  <ScaleCrop>false</ScaleCrop>
  <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Hollander, M. (Monika)</dc:creator>
  <cp:keywords/>
  <dc:description/>
  <cp:lastModifiedBy>Hollander, M. (Monika)</cp:lastModifiedBy>
  <cp:revision>1</cp:revision>
  <dcterms:created xsi:type="dcterms:W3CDTF">2024-08-19T11:00:00Z</dcterms:created>
  <dcterms:modified xsi:type="dcterms:W3CDTF">2024-08-19T11:00:00Z</dcterms:modified>
</cp:coreProperties>
</file>