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138D4" w14:textId="77777777" w:rsidR="0075009B" w:rsidRPr="00A25A2F" w:rsidRDefault="0075009B" w:rsidP="0075009B">
      <w:pPr>
        <w:spacing w:line="360" w:lineRule="auto"/>
        <w:jc w:val="center"/>
        <w:rPr>
          <w:rFonts w:ascii="Times New Roman" w:hAnsi="Times New Roman" w:cs="Times New Roman"/>
          <w:b/>
          <w:sz w:val="32"/>
          <w:szCs w:val="32"/>
        </w:rPr>
      </w:pPr>
      <w:r w:rsidRPr="00A25A2F">
        <w:rPr>
          <w:rFonts w:ascii="Times New Roman" w:hAnsi="Times New Roman" w:cs="Times New Roman"/>
          <w:b/>
          <w:sz w:val="32"/>
          <w:szCs w:val="32"/>
        </w:rPr>
        <w:t>Supplementary Information</w:t>
      </w:r>
    </w:p>
    <w:p w14:paraId="4921F16F" w14:textId="77777777" w:rsidR="00952897" w:rsidRPr="00952897" w:rsidRDefault="00952897" w:rsidP="00952897">
      <w:pPr>
        <w:spacing w:line="360" w:lineRule="auto"/>
        <w:jc w:val="center"/>
        <w:rPr>
          <w:rFonts w:ascii="Times New Roman" w:hAnsi="Times New Roman" w:cs="Times New Roman"/>
          <w:b/>
          <w:sz w:val="28"/>
          <w:szCs w:val="28"/>
        </w:rPr>
      </w:pPr>
      <w:r w:rsidRPr="00952897">
        <w:rPr>
          <w:rFonts w:ascii="Times New Roman" w:hAnsi="Times New Roman" w:cs="Times New Roman"/>
          <w:b/>
          <w:sz w:val="28"/>
          <w:szCs w:val="28"/>
        </w:rPr>
        <w:t>Supplementary Materials and Methods</w:t>
      </w:r>
    </w:p>
    <w:p w14:paraId="529FC282" w14:textId="77777777" w:rsidR="007A2EC8" w:rsidRPr="007A2EC8" w:rsidRDefault="007A2EC8" w:rsidP="007A2EC8">
      <w:pPr>
        <w:spacing w:line="360" w:lineRule="auto"/>
        <w:rPr>
          <w:rFonts w:ascii="Times New Roman" w:hAnsi="Times New Roman" w:cs="Times New Roman"/>
          <w:b/>
          <w:bCs/>
          <w:sz w:val="24"/>
          <w:szCs w:val="24"/>
        </w:rPr>
      </w:pPr>
      <w:r w:rsidRPr="007A2EC8">
        <w:rPr>
          <w:rFonts w:ascii="Times New Roman" w:hAnsi="Times New Roman" w:cs="Times New Roman"/>
          <w:b/>
          <w:bCs/>
          <w:sz w:val="24"/>
          <w:szCs w:val="24"/>
        </w:rPr>
        <w:t>Differentially expressed gene analysis of molecular subtypes of AERGs.</w:t>
      </w:r>
    </w:p>
    <w:p w14:paraId="3D5A9036" w14:textId="44D5B7CC" w:rsidR="007A2EC8" w:rsidRPr="007A2EC8" w:rsidRDefault="007A2EC8" w:rsidP="007A2EC8">
      <w:pPr>
        <w:spacing w:line="360" w:lineRule="auto"/>
        <w:ind w:firstLineChars="100" w:firstLine="240"/>
        <w:rPr>
          <w:rFonts w:ascii="Times New Roman" w:hAnsi="Times New Roman" w:cs="Times New Roman"/>
          <w:sz w:val="24"/>
          <w:szCs w:val="24"/>
        </w:rPr>
      </w:pPr>
      <w:r w:rsidRPr="007A2EC8">
        <w:rPr>
          <w:rFonts w:ascii="Times New Roman" w:hAnsi="Times New Roman" w:cs="Times New Roman"/>
          <w:sz w:val="24"/>
          <w:szCs w:val="24"/>
        </w:rPr>
        <w:t>Using the “</w:t>
      </w:r>
      <w:proofErr w:type="spellStart"/>
      <w:r w:rsidRPr="007A2EC8">
        <w:rPr>
          <w:rFonts w:ascii="Times New Roman" w:hAnsi="Times New Roman" w:cs="Times New Roman"/>
          <w:sz w:val="24"/>
          <w:szCs w:val="24"/>
        </w:rPr>
        <w:t>limma</w:t>
      </w:r>
      <w:proofErr w:type="spellEnd"/>
      <w:r w:rsidRPr="007A2EC8">
        <w:rPr>
          <w:rFonts w:ascii="Times New Roman" w:hAnsi="Times New Roman" w:cs="Times New Roman"/>
          <w:sz w:val="24"/>
          <w:szCs w:val="24"/>
        </w:rPr>
        <w:t>” package, we identified 438 differentially expressed genes (DEGs) across various molecular subtypes, applying a screening criterion of fold change (FC) &gt; 1. Subsequently, we extracted 178 genes associated with prognosis through univariate Cox regression, utilizing a screening criterion of p &lt; 0.05. The gene cluster was derived through gene clustering analysis using the “</w:t>
      </w:r>
      <w:proofErr w:type="spellStart"/>
      <w:proofErr w:type="gramStart"/>
      <w:r w:rsidRPr="007A2EC8">
        <w:rPr>
          <w:rFonts w:ascii="Times New Roman" w:hAnsi="Times New Roman" w:cs="Times New Roman"/>
          <w:sz w:val="24"/>
          <w:szCs w:val="24"/>
        </w:rPr>
        <w:t>ConsensusClusterPlus”package</w:t>
      </w:r>
      <w:proofErr w:type="spellEnd"/>
      <w:proofErr w:type="gramEnd"/>
      <w:r w:rsidRPr="007A2EC8">
        <w:rPr>
          <w:rFonts w:ascii="Times New Roman" w:hAnsi="Times New Roman" w:cs="Times New Roman"/>
          <w:sz w:val="24"/>
          <w:szCs w:val="24"/>
        </w:rPr>
        <w:t>.</w:t>
      </w:r>
    </w:p>
    <w:p w14:paraId="63C3CEBE" w14:textId="77777777" w:rsidR="00887BEF" w:rsidRPr="00887BEF" w:rsidRDefault="00887BEF" w:rsidP="00887BEF">
      <w:pPr>
        <w:autoSpaceDE w:val="0"/>
        <w:autoSpaceDN w:val="0"/>
        <w:adjustRightInd w:val="0"/>
        <w:spacing w:line="360" w:lineRule="auto"/>
        <w:rPr>
          <w:rFonts w:ascii="Times New Roman" w:hAnsi="Times New Roman" w:cs="Times New Roman"/>
          <w:b/>
          <w:bCs/>
          <w:sz w:val="24"/>
          <w:szCs w:val="24"/>
        </w:rPr>
      </w:pPr>
      <w:r w:rsidRPr="00887BEF">
        <w:rPr>
          <w:rFonts w:ascii="Times New Roman" w:hAnsi="Times New Roman" w:cs="Times New Roman"/>
          <w:b/>
          <w:bCs/>
          <w:sz w:val="24"/>
          <w:szCs w:val="24"/>
        </w:rPr>
        <w:t>Constructing the AERG score</w:t>
      </w:r>
    </w:p>
    <w:p w14:paraId="69DF4B2D" w14:textId="5A5063E9" w:rsidR="00887BEF" w:rsidRPr="00887BEF" w:rsidRDefault="00887BEF" w:rsidP="00887BEF">
      <w:pPr>
        <w:autoSpaceDE w:val="0"/>
        <w:autoSpaceDN w:val="0"/>
        <w:adjustRightInd w:val="0"/>
        <w:spacing w:line="360" w:lineRule="auto"/>
        <w:ind w:firstLineChars="100" w:firstLine="240"/>
        <w:rPr>
          <w:rFonts w:ascii="Times New Roman" w:hAnsi="Times New Roman" w:cs="Times New Roman"/>
          <w:sz w:val="24"/>
          <w:szCs w:val="24"/>
        </w:rPr>
      </w:pPr>
      <w:r w:rsidRPr="00887BEF">
        <w:rPr>
          <w:rFonts w:ascii="Times New Roman" w:hAnsi="Times New Roman" w:cs="Times New Roman"/>
          <w:sz w:val="24"/>
          <w:szCs w:val="24"/>
        </w:rPr>
        <w:t>We performed Lasso regression and multivariate Cox regression analysis of DEGs associated with prognosis using the R package "</w:t>
      </w:r>
      <w:proofErr w:type="spellStart"/>
      <w:r w:rsidRPr="00887BEF">
        <w:rPr>
          <w:rFonts w:ascii="Times New Roman" w:hAnsi="Times New Roman" w:cs="Times New Roman"/>
          <w:sz w:val="24"/>
          <w:szCs w:val="24"/>
        </w:rPr>
        <w:t>glmnet</w:t>
      </w:r>
      <w:proofErr w:type="spellEnd"/>
      <w:r w:rsidRPr="00887BEF">
        <w:rPr>
          <w:rFonts w:ascii="Times New Roman" w:hAnsi="Times New Roman" w:cs="Times New Roman"/>
          <w:sz w:val="24"/>
          <w:szCs w:val="24"/>
        </w:rPr>
        <w:t xml:space="preserve">". We constructed an AERG score consisting of 7 genes: risk score = (exp gen1 × </w:t>
      </w:r>
      <w:proofErr w:type="spellStart"/>
      <w:r w:rsidRPr="00887BEF">
        <w:rPr>
          <w:rFonts w:ascii="Times New Roman" w:hAnsi="Times New Roman" w:cs="Times New Roman"/>
          <w:sz w:val="24"/>
          <w:szCs w:val="24"/>
        </w:rPr>
        <w:t>coef</w:t>
      </w:r>
      <w:proofErr w:type="spellEnd"/>
      <w:r w:rsidRPr="00887BEF">
        <w:rPr>
          <w:rFonts w:ascii="Times New Roman" w:hAnsi="Times New Roman" w:cs="Times New Roman"/>
          <w:sz w:val="24"/>
          <w:szCs w:val="24"/>
        </w:rPr>
        <w:t xml:space="preserve"> gen1) + (exp gen2 × </w:t>
      </w:r>
      <w:proofErr w:type="spellStart"/>
      <w:r w:rsidRPr="00887BEF">
        <w:rPr>
          <w:rFonts w:ascii="Times New Roman" w:hAnsi="Times New Roman" w:cs="Times New Roman"/>
          <w:sz w:val="24"/>
          <w:szCs w:val="24"/>
        </w:rPr>
        <w:t>coef</w:t>
      </w:r>
      <w:proofErr w:type="spellEnd"/>
      <w:r w:rsidRPr="00887BEF">
        <w:rPr>
          <w:rFonts w:ascii="Times New Roman" w:hAnsi="Times New Roman" w:cs="Times New Roman"/>
          <w:sz w:val="24"/>
          <w:szCs w:val="24"/>
        </w:rPr>
        <w:t xml:space="preserve"> gen2) + ... + (exp gen7 × </w:t>
      </w:r>
      <w:proofErr w:type="spellStart"/>
      <w:r w:rsidRPr="00887BEF">
        <w:rPr>
          <w:rFonts w:ascii="Times New Roman" w:hAnsi="Times New Roman" w:cs="Times New Roman"/>
          <w:sz w:val="24"/>
          <w:szCs w:val="24"/>
        </w:rPr>
        <w:t>coef</w:t>
      </w:r>
      <w:proofErr w:type="spellEnd"/>
      <w:r w:rsidRPr="00887BEF">
        <w:rPr>
          <w:rFonts w:ascii="Times New Roman" w:hAnsi="Times New Roman" w:cs="Times New Roman"/>
          <w:sz w:val="24"/>
          <w:szCs w:val="24"/>
        </w:rPr>
        <w:t xml:space="preserve"> gene7), where "exp" denotes the gene expression value and "</w:t>
      </w:r>
      <w:proofErr w:type="spellStart"/>
      <w:r w:rsidRPr="00887BEF">
        <w:rPr>
          <w:rFonts w:ascii="Times New Roman" w:hAnsi="Times New Roman" w:cs="Times New Roman"/>
          <w:sz w:val="24"/>
          <w:szCs w:val="24"/>
        </w:rPr>
        <w:t>coef</w:t>
      </w:r>
      <w:proofErr w:type="spellEnd"/>
      <w:r w:rsidRPr="00887BEF">
        <w:rPr>
          <w:rFonts w:ascii="Times New Roman" w:hAnsi="Times New Roman" w:cs="Times New Roman"/>
          <w:sz w:val="24"/>
          <w:szCs w:val="24"/>
        </w:rPr>
        <w:t>" denotes the estimated regression coefficient. Patients were categorized into high-risk and low-risk groups based on the median risk score. Survival analyses were performed using the "survival" and "</w:t>
      </w:r>
      <w:proofErr w:type="spellStart"/>
      <w:r w:rsidRPr="00887BEF">
        <w:rPr>
          <w:rFonts w:ascii="Times New Roman" w:hAnsi="Times New Roman" w:cs="Times New Roman"/>
          <w:sz w:val="24"/>
          <w:szCs w:val="24"/>
        </w:rPr>
        <w:t>survminer</w:t>
      </w:r>
      <w:proofErr w:type="spellEnd"/>
      <w:r w:rsidRPr="00887BEF">
        <w:rPr>
          <w:rFonts w:ascii="Times New Roman" w:hAnsi="Times New Roman" w:cs="Times New Roman"/>
          <w:sz w:val="24"/>
          <w:szCs w:val="24"/>
        </w:rPr>
        <w:t>" packages, and receiver operating characteristic curves (ROCs) were generated at 1, 3, and 5 years using the "</w:t>
      </w:r>
      <w:proofErr w:type="spellStart"/>
      <w:r w:rsidRPr="00887BEF">
        <w:rPr>
          <w:rFonts w:ascii="Times New Roman" w:hAnsi="Times New Roman" w:cs="Times New Roman"/>
          <w:sz w:val="24"/>
          <w:szCs w:val="24"/>
        </w:rPr>
        <w:t>timeROC</w:t>
      </w:r>
      <w:proofErr w:type="spellEnd"/>
      <w:r w:rsidRPr="00887BEF">
        <w:rPr>
          <w:rFonts w:ascii="Times New Roman" w:hAnsi="Times New Roman" w:cs="Times New Roman"/>
          <w:sz w:val="24"/>
          <w:szCs w:val="24"/>
        </w:rPr>
        <w:t>" package.</w:t>
      </w:r>
      <w:r w:rsidR="00282079" w:rsidRPr="00282079">
        <w:t xml:space="preserve"> </w:t>
      </w:r>
      <w:r w:rsidR="00282079" w:rsidRPr="00282079">
        <w:rPr>
          <w:rFonts w:ascii="Times New Roman" w:hAnsi="Times New Roman" w:cs="Times New Roman"/>
          <w:sz w:val="24"/>
          <w:szCs w:val="24"/>
        </w:rPr>
        <w:t xml:space="preserve">The formula of AERG score was as </w:t>
      </w:r>
      <w:proofErr w:type="spellStart"/>
      <w:proofErr w:type="gramStart"/>
      <w:r w:rsidR="00282079" w:rsidRPr="00282079">
        <w:rPr>
          <w:rFonts w:ascii="Times New Roman" w:hAnsi="Times New Roman" w:cs="Times New Roman"/>
          <w:sz w:val="24"/>
          <w:szCs w:val="24"/>
        </w:rPr>
        <w:t>follows:AERG</w:t>
      </w:r>
      <w:proofErr w:type="spellEnd"/>
      <w:proofErr w:type="gramEnd"/>
      <w:r w:rsidR="00282079" w:rsidRPr="00282079">
        <w:rPr>
          <w:rFonts w:ascii="Times New Roman" w:hAnsi="Times New Roman" w:cs="Times New Roman"/>
          <w:sz w:val="24"/>
          <w:szCs w:val="24"/>
        </w:rPr>
        <w:t xml:space="preserve"> score=( -0.7402×MEOX2 exp.) +(0.2142× LTBP1 exp.) +(0.2135× SLC2A3 exp.) + (0.2267× FABP4 exp.) + (0.3047× ANO1 exp.) + (0.1892× APOD exp.) + (-0.067× CLCA1 exp.).</w:t>
      </w:r>
    </w:p>
    <w:p w14:paraId="029938D0" w14:textId="77777777" w:rsidR="00887BEF" w:rsidRPr="0060564D" w:rsidRDefault="00887BEF" w:rsidP="00887BEF">
      <w:pPr>
        <w:autoSpaceDE w:val="0"/>
        <w:autoSpaceDN w:val="0"/>
        <w:adjustRightInd w:val="0"/>
        <w:spacing w:line="360" w:lineRule="auto"/>
        <w:rPr>
          <w:rFonts w:ascii="Times New Roman" w:hAnsi="Times New Roman" w:cs="Times New Roman"/>
          <w:b/>
          <w:bCs/>
          <w:sz w:val="24"/>
          <w:szCs w:val="24"/>
        </w:rPr>
      </w:pPr>
      <w:r w:rsidRPr="0060564D">
        <w:rPr>
          <w:rFonts w:ascii="Times New Roman" w:hAnsi="Times New Roman" w:cs="Times New Roman"/>
          <w:b/>
          <w:bCs/>
          <w:sz w:val="24"/>
          <w:szCs w:val="24"/>
        </w:rPr>
        <w:t>Sensitivity analysis of chemotherapy drugs</w:t>
      </w:r>
    </w:p>
    <w:p w14:paraId="2F1B34B4" w14:textId="6DE79B2A" w:rsidR="00887BEF" w:rsidRDefault="00887BEF" w:rsidP="00887BEF">
      <w:pPr>
        <w:autoSpaceDE w:val="0"/>
        <w:autoSpaceDN w:val="0"/>
        <w:adjustRightInd w:val="0"/>
        <w:spacing w:line="360" w:lineRule="auto"/>
        <w:ind w:firstLineChars="100" w:firstLine="240"/>
        <w:rPr>
          <w:rFonts w:ascii="Times New Roman" w:hAnsi="Times New Roman" w:cs="Times New Roman"/>
          <w:sz w:val="24"/>
          <w:szCs w:val="24"/>
        </w:rPr>
      </w:pPr>
      <w:r w:rsidRPr="0060564D">
        <w:rPr>
          <w:rFonts w:ascii="Times New Roman" w:hAnsi="Times New Roman" w:cs="Times New Roman"/>
          <w:sz w:val="24"/>
          <w:szCs w:val="24"/>
        </w:rPr>
        <w:t>To understand the significance of AERG score in clinical medication, we utilized the ‘PRROPHIC’ software package to calculate the IC50 value of chemotherapy drugs. Subsequently, we assessed the sensitivity of various PANS subgroups towards these drugs.</w:t>
      </w:r>
    </w:p>
    <w:p w14:paraId="6CE9F1C4" w14:textId="497BCE77" w:rsidR="00FD6C6D" w:rsidRPr="00FD6C6D" w:rsidRDefault="00FD6C6D" w:rsidP="00FD6C6D">
      <w:pPr>
        <w:autoSpaceDE w:val="0"/>
        <w:autoSpaceDN w:val="0"/>
        <w:adjustRightInd w:val="0"/>
        <w:spacing w:line="360" w:lineRule="auto"/>
        <w:rPr>
          <w:rFonts w:ascii="Times New Roman" w:hAnsi="Times New Roman" w:cs="Times New Roman"/>
          <w:b/>
          <w:bCs/>
          <w:sz w:val="24"/>
          <w:szCs w:val="24"/>
        </w:rPr>
      </w:pPr>
      <w:r w:rsidRPr="00FD6C6D">
        <w:rPr>
          <w:rFonts w:ascii="Times New Roman" w:hAnsi="Times New Roman" w:cs="Times New Roman"/>
          <w:b/>
          <w:bCs/>
          <w:sz w:val="24"/>
          <w:szCs w:val="24"/>
        </w:rPr>
        <w:t>Cell culture and transfection</w:t>
      </w:r>
    </w:p>
    <w:p w14:paraId="6168D723" w14:textId="77777777" w:rsidR="003574FD" w:rsidRDefault="00FD6C6D" w:rsidP="00FD6C6D">
      <w:pPr>
        <w:autoSpaceDE w:val="0"/>
        <w:autoSpaceDN w:val="0"/>
        <w:adjustRightInd w:val="0"/>
        <w:spacing w:line="360" w:lineRule="auto"/>
        <w:ind w:firstLineChars="100" w:firstLine="240"/>
        <w:rPr>
          <w:rFonts w:ascii="Times New Roman" w:hAnsi="Times New Roman" w:cs="Times New Roman"/>
          <w:sz w:val="24"/>
          <w:szCs w:val="24"/>
        </w:rPr>
      </w:pPr>
      <w:r w:rsidRPr="00FD6C6D">
        <w:rPr>
          <w:rFonts w:ascii="Times New Roman" w:hAnsi="Times New Roman" w:cs="Times New Roman"/>
          <w:sz w:val="24"/>
          <w:szCs w:val="24"/>
        </w:rPr>
        <w:t>Human CRC cell lines (DLD</w:t>
      </w:r>
      <w:proofErr w:type="gramStart"/>
      <w:r w:rsidRPr="00FD6C6D">
        <w:rPr>
          <w:rFonts w:ascii="Times New Roman" w:hAnsi="Times New Roman" w:cs="Times New Roman"/>
          <w:sz w:val="24"/>
          <w:szCs w:val="24"/>
        </w:rPr>
        <w:t>1,HT</w:t>
      </w:r>
      <w:proofErr w:type="gramEnd"/>
      <w:r w:rsidRPr="00FD6C6D">
        <w:rPr>
          <w:rFonts w:ascii="Times New Roman" w:hAnsi="Times New Roman" w:cs="Times New Roman"/>
          <w:sz w:val="24"/>
          <w:szCs w:val="24"/>
        </w:rPr>
        <w:t xml:space="preserve">29,HCT116 and RKO) were obtained from the </w:t>
      </w:r>
      <w:r w:rsidRPr="00FD6C6D">
        <w:rPr>
          <w:rFonts w:ascii="Times New Roman" w:hAnsi="Times New Roman" w:cs="Times New Roman"/>
          <w:sz w:val="24"/>
          <w:szCs w:val="24"/>
        </w:rPr>
        <w:lastRenderedPageBreak/>
        <w:t>key laboratory of cancer prevention and intervention, Zhejiang university. The above cells were cultured in DMEM complete medium, and the cells were grown in 5% CO2 and 37 °C incubator. Transfection of siRNA was performed using lipo8000 transfection reagent (</w:t>
      </w:r>
      <w:proofErr w:type="spellStart"/>
      <w:r w:rsidRPr="00FD6C6D">
        <w:rPr>
          <w:rFonts w:ascii="Times New Roman" w:hAnsi="Times New Roman" w:cs="Times New Roman"/>
          <w:sz w:val="24"/>
          <w:szCs w:val="24"/>
        </w:rPr>
        <w:t>Beyotime</w:t>
      </w:r>
      <w:proofErr w:type="spellEnd"/>
      <w:r w:rsidRPr="00FD6C6D">
        <w:rPr>
          <w:rFonts w:ascii="Times New Roman" w:hAnsi="Times New Roman" w:cs="Times New Roman"/>
          <w:sz w:val="24"/>
          <w:szCs w:val="24"/>
        </w:rPr>
        <w:t>, China</w:t>
      </w:r>
      <w:proofErr w:type="gramStart"/>
      <w:r w:rsidRPr="00FD6C6D">
        <w:rPr>
          <w:rFonts w:ascii="Times New Roman" w:hAnsi="Times New Roman" w:cs="Times New Roman"/>
          <w:sz w:val="24"/>
          <w:szCs w:val="24"/>
        </w:rPr>
        <w:t>).</w:t>
      </w:r>
      <w:r w:rsidR="00745CC9">
        <w:rPr>
          <w:rFonts w:ascii="Times New Roman" w:hAnsi="Times New Roman" w:cs="Times New Roman"/>
          <w:sz w:val="24"/>
          <w:szCs w:val="24"/>
        </w:rPr>
        <w:t>T</w:t>
      </w:r>
      <w:r w:rsidR="00745CC9">
        <w:rPr>
          <w:rFonts w:ascii="Times New Roman" w:hAnsi="Times New Roman" w:cs="Times New Roman" w:hint="eastAsia"/>
          <w:sz w:val="24"/>
          <w:szCs w:val="24"/>
        </w:rPr>
        <w:t>h</w:t>
      </w:r>
      <w:r w:rsidR="00745CC9">
        <w:rPr>
          <w:rFonts w:ascii="Times New Roman" w:hAnsi="Times New Roman" w:cs="Times New Roman"/>
          <w:sz w:val="24"/>
          <w:szCs w:val="24"/>
        </w:rPr>
        <w:t>e</w:t>
      </w:r>
      <w:proofErr w:type="gramEnd"/>
      <w:r w:rsidR="00745CC9">
        <w:rPr>
          <w:rFonts w:ascii="Times New Roman" w:hAnsi="Times New Roman" w:cs="Times New Roman"/>
          <w:sz w:val="24"/>
          <w:szCs w:val="24"/>
        </w:rPr>
        <w:t xml:space="preserve"> </w:t>
      </w:r>
      <w:r w:rsidR="00745CC9">
        <w:rPr>
          <w:rFonts w:ascii="Times New Roman" w:hAnsi="Times New Roman" w:cs="Times New Roman" w:hint="eastAsia"/>
          <w:sz w:val="24"/>
          <w:szCs w:val="24"/>
        </w:rPr>
        <w:t>sequences</w:t>
      </w:r>
      <w:r w:rsidR="00745CC9">
        <w:rPr>
          <w:rFonts w:ascii="Times New Roman" w:hAnsi="Times New Roman" w:cs="Times New Roman"/>
          <w:sz w:val="24"/>
          <w:szCs w:val="24"/>
        </w:rPr>
        <w:t xml:space="preserve"> of LTBP1-target-</w:t>
      </w:r>
      <w:r w:rsidR="00745CC9">
        <w:rPr>
          <w:rFonts w:ascii="Times New Roman" w:hAnsi="Times New Roman" w:cs="Times New Roman" w:hint="eastAsia"/>
          <w:sz w:val="24"/>
          <w:szCs w:val="24"/>
        </w:rPr>
        <w:t>specifc</w:t>
      </w:r>
      <w:r w:rsidR="00745CC9">
        <w:rPr>
          <w:rFonts w:ascii="Times New Roman" w:hAnsi="Times New Roman" w:cs="Times New Roman"/>
          <w:sz w:val="24"/>
          <w:szCs w:val="24"/>
        </w:rPr>
        <w:t xml:space="preserve">-siRNA were as </w:t>
      </w:r>
      <w:r w:rsidR="00745CC9">
        <w:rPr>
          <w:rFonts w:ascii="Times New Roman" w:hAnsi="Times New Roman" w:cs="Times New Roman" w:hint="eastAsia"/>
          <w:sz w:val="24"/>
          <w:szCs w:val="24"/>
        </w:rPr>
        <w:t>follows</w:t>
      </w:r>
      <w:r w:rsidR="00745CC9">
        <w:rPr>
          <w:rFonts w:ascii="Times New Roman" w:hAnsi="Times New Roman" w:cs="Times New Roman"/>
          <w:sz w:val="24"/>
          <w:szCs w:val="24"/>
        </w:rPr>
        <w:t xml:space="preserve">: </w:t>
      </w:r>
      <w:r w:rsidR="003574FD" w:rsidRPr="003574FD">
        <w:t xml:space="preserve"> </w:t>
      </w:r>
      <w:r w:rsidR="003574FD" w:rsidRPr="003574FD">
        <w:rPr>
          <w:rFonts w:ascii="Times New Roman" w:hAnsi="Times New Roman" w:cs="Times New Roman"/>
          <w:sz w:val="24"/>
          <w:szCs w:val="24"/>
        </w:rPr>
        <w:t xml:space="preserve">siRNA1: </w:t>
      </w:r>
      <w:bookmarkStart w:id="0" w:name="_Hlk174992898"/>
      <w:r w:rsidR="003574FD" w:rsidRPr="003574FD">
        <w:rPr>
          <w:rFonts w:ascii="Times New Roman" w:hAnsi="Times New Roman" w:cs="Times New Roman"/>
          <w:sz w:val="24"/>
          <w:szCs w:val="24"/>
        </w:rPr>
        <w:t>5′-CUCCUAACAUAGUCAAUAUTT-3′(sense)</w:t>
      </w:r>
      <w:bookmarkEnd w:id="0"/>
      <w:r w:rsidR="003574FD" w:rsidRPr="003574FD">
        <w:rPr>
          <w:rFonts w:ascii="Times New Roman" w:hAnsi="Times New Roman" w:cs="Times New Roman"/>
          <w:sz w:val="24"/>
          <w:szCs w:val="24"/>
        </w:rPr>
        <w:t>, 5′-AUAUUGACUAUGUUAGGAGTT-3′(antisense);</w:t>
      </w:r>
    </w:p>
    <w:p w14:paraId="30C30233" w14:textId="4E33906B" w:rsidR="00FD6C6D" w:rsidRPr="00745CC9" w:rsidRDefault="003574FD" w:rsidP="00FD6C6D">
      <w:pPr>
        <w:autoSpaceDE w:val="0"/>
        <w:autoSpaceDN w:val="0"/>
        <w:adjustRightInd w:val="0"/>
        <w:spacing w:line="360" w:lineRule="auto"/>
        <w:ind w:firstLineChars="100" w:firstLine="240"/>
        <w:rPr>
          <w:rFonts w:ascii="Times New Roman" w:hAnsi="Times New Roman" w:cs="Times New Roman" w:hint="eastAsia"/>
          <w:sz w:val="24"/>
          <w:szCs w:val="24"/>
        </w:rPr>
      </w:pPr>
      <w:r>
        <w:rPr>
          <w:rFonts w:ascii="Times New Roman" w:hAnsi="Times New Roman" w:cs="Times New Roman" w:hint="eastAsia"/>
          <w:sz w:val="24"/>
          <w:szCs w:val="24"/>
        </w:rPr>
        <w:t>si</w:t>
      </w:r>
      <w:r>
        <w:rPr>
          <w:rFonts w:ascii="Times New Roman" w:hAnsi="Times New Roman" w:cs="Times New Roman"/>
          <w:sz w:val="24"/>
          <w:szCs w:val="24"/>
        </w:rPr>
        <w:t>RNA2:</w:t>
      </w:r>
      <w:r w:rsidRPr="003574FD">
        <w:t xml:space="preserve"> </w:t>
      </w:r>
      <w:r w:rsidRPr="003574FD">
        <w:rPr>
          <w:rFonts w:ascii="Times New Roman" w:hAnsi="Times New Roman" w:cs="Times New Roman"/>
          <w:sz w:val="24"/>
          <w:szCs w:val="24"/>
        </w:rPr>
        <w:t>5′-</w:t>
      </w:r>
      <w:r w:rsidR="001E744B" w:rsidRPr="001E744B">
        <w:rPr>
          <w:rFonts w:ascii="Times New Roman" w:hAnsi="Times New Roman" w:cs="Times New Roman"/>
          <w:sz w:val="24"/>
          <w:szCs w:val="24"/>
        </w:rPr>
        <w:t>CAGCGUGCCUAAACUUUAUTT</w:t>
      </w:r>
      <w:r w:rsidRPr="003574FD">
        <w:rPr>
          <w:rFonts w:ascii="Times New Roman" w:hAnsi="Times New Roman" w:cs="Times New Roman"/>
          <w:sz w:val="24"/>
          <w:szCs w:val="24"/>
        </w:rPr>
        <w:t>′(sense)</w:t>
      </w:r>
      <w:r w:rsidR="001E744B">
        <w:rPr>
          <w:rFonts w:ascii="Times New Roman" w:hAnsi="Times New Roman" w:cs="Times New Roman"/>
          <w:sz w:val="24"/>
          <w:szCs w:val="24"/>
        </w:rPr>
        <w:t>,</w:t>
      </w:r>
      <w:r w:rsidR="001E744B" w:rsidRPr="001E744B">
        <w:rPr>
          <w:rFonts w:ascii="Times New Roman" w:hAnsi="Times New Roman" w:cs="Times New Roman"/>
          <w:sz w:val="24"/>
          <w:szCs w:val="24"/>
        </w:rPr>
        <w:t xml:space="preserve"> </w:t>
      </w:r>
      <w:r w:rsidR="001E744B" w:rsidRPr="001E744B">
        <w:rPr>
          <w:rFonts w:ascii="Times New Roman" w:hAnsi="Times New Roman" w:cs="Times New Roman"/>
          <w:sz w:val="24"/>
          <w:szCs w:val="24"/>
        </w:rPr>
        <w:t>5′-AUAAAGUUUAGGCACGCUGTT-3′(antisense)</w:t>
      </w:r>
    </w:p>
    <w:p w14:paraId="46E3AA71" w14:textId="77777777" w:rsidR="00875DCA" w:rsidRPr="00875DCA" w:rsidRDefault="00875DCA" w:rsidP="00875DCA">
      <w:pPr>
        <w:autoSpaceDE w:val="0"/>
        <w:autoSpaceDN w:val="0"/>
        <w:adjustRightInd w:val="0"/>
        <w:spacing w:line="360" w:lineRule="auto"/>
        <w:rPr>
          <w:rFonts w:ascii="Times New Roman" w:hAnsi="Times New Roman" w:cs="Times New Roman"/>
          <w:b/>
          <w:bCs/>
          <w:sz w:val="24"/>
          <w:szCs w:val="24"/>
        </w:rPr>
      </w:pPr>
      <w:r w:rsidRPr="00875DCA">
        <w:rPr>
          <w:rFonts w:ascii="Times New Roman" w:hAnsi="Times New Roman" w:cs="Times New Roman"/>
          <w:b/>
          <w:bCs/>
          <w:sz w:val="24"/>
          <w:szCs w:val="24"/>
        </w:rPr>
        <w:t xml:space="preserve">Real-time quantitative PCR </w:t>
      </w:r>
    </w:p>
    <w:p w14:paraId="029542F3" w14:textId="4026C083" w:rsidR="00875DCA" w:rsidRPr="00875DCA" w:rsidRDefault="00875DCA" w:rsidP="00875DCA">
      <w:pPr>
        <w:autoSpaceDE w:val="0"/>
        <w:autoSpaceDN w:val="0"/>
        <w:adjustRightInd w:val="0"/>
        <w:spacing w:line="360" w:lineRule="auto"/>
        <w:ind w:firstLineChars="100" w:firstLine="240"/>
        <w:rPr>
          <w:rFonts w:ascii="Times New Roman" w:hAnsi="Times New Roman" w:cs="Times New Roman"/>
          <w:sz w:val="24"/>
          <w:szCs w:val="24"/>
        </w:rPr>
      </w:pPr>
      <w:r w:rsidRPr="00875DCA">
        <w:rPr>
          <w:rFonts w:ascii="Times New Roman" w:hAnsi="Times New Roman" w:cs="Times New Roman"/>
          <w:sz w:val="24"/>
          <w:szCs w:val="24"/>
        </w:rPr>
        <w:t xml:space="preserve">RNA extraction from cells was performed using the RNA-Quick Purification Kit (ES Science, Shanghai) according to the manufacturer's instructions.  The </w:t>
      </w:r>
      <w:proofErr w:type="spellStart"/>
      <w:r w:rsidRPr="00875DCA">
        <w:rPr>
          <w:rFonts w:ascii="Times New Roman" w:hAnsi="Times New Roman" w:cs="Times New Roman"/>
          <w:sz w:val="24"/>
          <w:szCs w:val="24"/>
        </w:rPr>
        <w:t>Hifair</w:t>
      </w:r>
      <w:proofErr w:type="spellEnd"/>
      <w:r w:rsidRPr="00875DCA">
        <w:rPr>
          <w:rFonts w:ascii="Times New Roman" w:hAnsi="Times New Roman" w:cs="Times New Roman"/>
          <w:sz w:val="24"/>
          <w:szCs w:val="24"/>
          <w:vertAlign w:val="superscript"/>
        </w:rPr>
        <w:t>®</w:t>
      </w:r>
      <w:r w:rsidRPr="00875DCA">
        <w:rPr>
          <w:rFonts w:ascii="Times New Roman" w:hAnsi="Times New Roman" w:cs="Times New Roman"/>
          <w:sz w:val="24"/>
          <w:szCs w:val="24"/>
        </w:rPr>
        <w:t xml:space="preserve"> Ⅲ 1st Strand cDNA Synthesis </w:t>
      </w:r>
      <w:proofErr w:type="spellStart"/>
      <w:r w:rsidRPr="00875DCA">
        <w:rPr>
          <w:rFonts w:ascii="Times New Roman" w:hAnsi="Times New Roman" w:cs="Times New Roman"/>
          <w:sz w:val="24"/>
          <w:szCs w:val="24"/>
        </w:rPr>
        <w:t>SuperMix</w:t>
      </w:r>
      <w:proofErr w:type="spellEnd"/>
      <w:r w:rsidRPr="00875DCA">
        <w:rPr>
          <w:rFonts w:ascii="Times New Roman" w:hAnsi="Times New Roman" w:cs="Times New Roman"/>
          <w:sz w:val="24"/>
          <w:szCs w:val="24"/>
        </w:rPr>
        <w:t xml:space="preserve"> (</w:t>
      </w:r>
      <w:proofErr w:type="spellStart"/>
      <w:r w:rsidRPr="00875DCA">
        <w:rPr>
          <w:rFonts w:ascii="Times New Roman" w:hAnsi="Times New Roman" w:cs="Times New Roman"/>
          <w:sz w:val="24"/>
          <w:szCs w:val="24"/>
        </w:rPr>
        <w:t>Yeasen</w:t>
      </w:r>
      <w:proofErr w:type="spellEnd"/>
      <w:r w:rsidRPr="00875DCA">
        <w:rPr>
          <w:rFonts w:ascii="Times New Roman" w:hAnsi="Times New Roman" w:cs="Times New Roman"/>
          <w:sz w:val="24"/>
          <w:szCs w:val="24"/>
        </w:rPr>
        <w:t xml:space="preserve">, China) was utilized for reverse transcription reaction to synthesize cDNA. RT-qPCR experiments were performed following the instructions provided by the </w:t>
      </w:r>
      <w:proofErr w:type="spellStart"/>
      <w:r w:rsidRPr="00875DCA">
        <w:rPr>
          <w:rFonts w:ascii="Times New Roman" w:hAnsi="Times New Roman" w:cs="Times New Roman"/>
          <w:sz w:val="24"/>
          <w:szCs w:val="24"/>
        </w:rPr>
        <w:t>TaHieff</w:t>
      </w:r>
      <w:proofErr w:type="spellEnd"/>
      <w:r w:rsidRPr="00875DCA">
        <w:rPr>
          <w:rFonts w:ascii="Times New Roman" w:hAnsi="Times New Roman" w:cs="Times New Roman"/>
          <w:sz w:val="24"/>
          <w:szCs w:val="24"/>
          <w:vertAlign w:val="superscript"/>
        </w:rPr>
        <w:t>®</w:t>
      </w:r>
      <w:r w:rsidRPr="00875DCA">
        <w:rPr>
          <w:rFonts w:ascii="Times New Roman" w:hAnsi="Times New Roman" w:cs="Times New Roman"/>
          <w:sz w:val="24"/>
          <w:szCs w:val="24"/>
        </w:rPr>
        <w:t> qPCR SYBR Green Master Mix. The mRNA expression of genes was calculated using the 2 − ΔΔCT method, with β-actin serving as the internal control. The specific sequences of the LTBP1 primers used are: Forward: 5′-CTGACGGCCACGAACTTCC-3′ and Reverse: 5′-GCACTGACATTTGTCCCTTGA-3′. The β-actin primers were as follows: Forward: 5′- CATGTACGTTGCTATCCAGGC -3′ and reverse:5′- CTCCTTAATGTCACGCACGAT -3′.</w:t>
      </w:r>
    </w:p>
    <w:p w14:paraId="11B8B80B" w14:textId="2FBA9212" w:rsidR="00537031" w:rsidRPr="00537031" w:rsidRDefault="00537031" w:rsidP="00537031">
      <w:pPr>
        <w:autoSpaceDE w:val="0"/>
        <w:autoSpaceDN w:val="0"/>
        <w:adjustRightInd w:val="0"/>
        <w:spacing w:line="360" w:lineRule="auto"/>
        <w:rPr>
          <w:rFonts w:ascii="Times New Roman" w:hAnsi="Times New Roman" w:cs="Times New Roman"/>
          <w:b/>
          <w:bCs/>
          <w:sz w:val="24"/>
          <w:szCs w:val="24"/>
        </w:rPr>
      </w:pPr>
      <w:proofErr w:type="spellStart"/>
      <w:r w:rsidRPr="00537031">
        <w:rPr>
          <w:rFonts w:ascii="Times New Roman" w:hAnsi="Times New Roman" w:cs="Times New Roman"/>
          <w:b/>
          <w:bCs/>
          <w:sz w:val="24"/>
          <w:szCs w:val="24"/>
        </w:rPr>
        <w:t>Transwell</w:t>
      </w:r>
      <w:proofErr w:type="spellEnd"/>
      <w:r w:rsidRPr="00537031">
        <w:rPr>
          <w:rFonts w:ascii="Times New Roman" w:hAnsi="Times New Roman" w:cs="Times New Roman"/>
          <w:b/>
          <w:bCs/>
          <w:sz w:val="24"/>
          <w:szCs w:val="24"/>
        </w:rPr>
        <w:t xml:space="preserve"> experiment</w:t>
      </w:r>
    </w:p>
    <w:p w14:paraId="767940E7" w14:textId="77777777" w:rsidR="00537031" w:rsidRPr="00537031" w:rsidRDefault="00537031" w:rsidP="0060564D">
      <w:pPr>
        <w:autoSpaceDE w:val="0"/>
        <w:autoSpaceDN w:val="0"/>
        <w:adjustRightInd w:val="0"/>
        <w:spacing w:line="360" w:lineRule="auto"/>
        <w:ind w:firstLineChars="100" w:firstLine="240"/>
        <w:rPr>
          <w:rFonts w:ascii="Times New Roman" w:hAnsi="Times New Roman" w:cs="Times New Roman"/>
          <w:sz w:val="24"/>
          <w:szCs w:val="24"/>
        </w:rPr>
      </w:pPr>
      <w:proofErr w:type="spellStart"/>
      <w:r w:rsidRPr="00537031">
        <w:rPr>
          <w:rFonts w:ascii="Times New Roman" w:hAnsi="Times New Roman" w:cs="Times New Roman"/>
          <w:sz w:val="24"/>
          <w:szCs w:val="24"/>
        </w:rPr>
        <w:t>Transwell</w:t>
      </w:r>
      <w:proofErr w:type="spellEnd"/>
      <w:r w:rsidRPr="00537031">
        <w:rPr>
          <w:rFonts w:ascii="Times New Roman" w:hAnsi="Times New Roman" w:cs="Times New Roman"/>
          <w:sz w:val="24"/>
          <w:szCs w:val="24"/>
        </w:rPr>
        <w:t xml:space="preserve"> assay was used to evaluate the effect of LTBP1 on the migration ability of tumor cells. 200 </w:t>
      </w:r>
      <w:proofErr w:type="spellStart"/>
      <w:r w:rsidRPr="00537031">
        <w:rPr>
          <w:rFonts w:ascii="Times New Roman" w:hAnsi="Times New Roman" w:cs="Times New Roman"/>
          <w:sz w:val="24"/>
          <w:szCs w:val="24"/>
        </w:rPr>
        <w:t>μl</w:t>
      </w:r>
      <w:proofErr w:type="spellEnd"/>
      <w:r w:rsidRPr="00537031">
        <w:rPr>
          <w:rFonts w:ascii="Times New Roman" w:hAnsi="Times New Roman" w:cs="Times New Roman"/>
          <w:sz w:val="24"/>
          <w:szCs w:val="24"/>
        </w:rPr>
        <w:t xml:space="preserve"> of FBS-free medium containing 1*10^5 cells </w:t>
      </w:r>
      <w:proofErr w:type="gramStart"/>
      <w:r w:rsidRPr="00537031">
        <w:rPr>
          <w:rFonts w:ascii="Times New Roman" w:hAnsi="Times New Roman" w:cs="Times New Roman"/>
          <w:sz w:val="24"/>
          <w:szCs w:val="24"/>
        </w:rPr>
        <w:t>was</w:t>
      </w:r>
      <w:proofErr w:type="gramEnd"/>
      <w:r w:rsidRPr="00537031">
        <w:rPr>
          <w:rFonts w:ascii="Times New Roman" w:hAnsi="Times New Roman" w:cs="Times New Roman"/>
          <w:sz w:val="24"/>
          <w:szCs w:val="24"/>
        </w:rPr>
        <w:t xml:space="preserve"> added to the upper chamber. The results were observed after 24 hours of incubation with DLD1 and 72 hours of incubation with HT29 cells. After incubation, the cells were stained with crystal violet.</w:t>
      </w:r>
    </w:p>
    <w:p w14:paraId="24BBE5FD" w14:textId="77777777" w:rsidR="00537031" w:rsidRPr="00537031" w:rsidRDefault="00537031" w:rsidP="00537031">
      <w:pPr>
        <w:autoSpaceDE w:val="0"/>
        <w:autoSpaceDN w:val="0"/>
        <w:adjustRightInd w:val="0"/>
        <w:spacing w:line="360" w:lineRule="auto"/>
        <w:rPr>
          <w:rFonts w:ascii="Times New Roman" w:hAnsi="Times New Roman" w:cs="Times New Roman"/>
          <w:b/>
          <w:bCs/>
          <w:sz w:val="24"/>
          <w:szCs w:val="24"/>
        </w:rPr>
      </w:pPr>
      <w:bookmarkStart w:id="1" w:name="_Hlk166172000"/>
      <w:r w:rsidRPr="00537031">
        <w:rPr>
          <w:rFonts w:ascii="Times New Roman" w:hAnsi="Times New Roman" w:cs="Times New Roman"/>
          <w:b/>
          <w:bCs/>
          <w:sz w:val="24"/>
          <w:szCs w:val="24"/>
        </w:rPr>
        <w:t>Apoptosis</w:t>
      </w:r>
      <w:bookmarkEnd w:id="1"/>
      <w:r w:rsidRPr="00537031">
        <w:rPr>
          <w:rFonts w:ascii="Times New Roman" w:hAnsi="Times New Roman" w:cs="Times New Roman"/>
          <w:b/>
          <w:bCs/>
          <w:sz w:val="24"/>
          <w:szCs w:val="24"/>
        </w:rPr>
        <w:t xml:space="preserve"> experiment</w:t>
      </w:r>
    </w:p>
    <w:p w14:paraId="5772EF5A" w14:textId="77777777" w:rsidR="00537031" w:rsidRDefault="00537031" w:rsidP="0060564D">
      <w:pPr>
        <w:autoSpaceDE w:val="0"/>
        <w:autoSpaceDN w:val="0"/>
        <w:adjustRightInd w:val="0"/>
        <w:spacing w:line="360" w:lineRule="auto"/>
        <w:ind w:firstLineChars="100" w:firstLine="240"/>
        <w:rPr>
          <w:rFonts w:ascii="Times New Roman" w:hAnsi="Times New Roman" w:cs="Times New Roman"/>
          <w:sz w:val="24"/>
          <w:szCs w:val="24"/>
        </w:rPr>
      </w:pPr>
      <w:r w:rsidRPr="00537031">
        <w:rPr>
          <w:rFonts w:ascii="Times New Roman" w:hAnsi="Times New Roman" w:cs="Times New Roman"/>
          <w:sz w:val="24"/>
          <w:szCs w:val="24"/>
        </w:rPr>
        <w:t xml:space="preserve">Apoptosis assay were performed according to the manufacturer's instructions for the Apoptosis </w:t>
      </w:r>
      <w:proofErr w:type="gramStart"/>
      <w:r w:rsidRPr="00537031">
        <w:rPr>
          <w:rFonts w:ascii="Times New Roman" w:hAnsi="Times New Roman" w:cs="Times New Roman"/>
          <w:sz w:val="24"/>
          <w:szCs w:val="24"/>
        </w:rPr>
        <w:t>Kit  (</w:t>
      </w:r>
      <w:proofErr w:type="spellStart"/>
      <w:proofErr w:type="gramEnd"/>
      <w:r w:rsidRPr="00537031">
        <w:rPr>
          <w:rFonts w:ascii="Times New Roman" w:hAnsi="Times New Roman" w:cs="Times New Roman"/>
          <w:sz w:val="24"/>
          <w:szCs w:val="24"/>
        </w:rPr>
        <w:t>Yeasen</w:t>
      </w:r>
      <w:proofErr w:type="spellEnd"/>
      <w:r w:rsidRPr="00537031">
        <w:rPr>
          <w:rFonts w:ascii="Times New Roman" w:hAnsi="Times New Roman" w:cs="Times New Roman"/>
          <w:sz w:val="24"/>
          <w:szCs w:val="24"/>
        </w:rPr>
        <w:t xml:space="preserve">, China), briefly, cells were digested with EDTA-free tryptic cell digest, FITC-Annexin V and PI stains were added, and the cells were </w:t>
      </w:r>
      <w:r w:rsidRPr="00537031">
        <w:rPr>
          <w:rFonts w:ascii="Times New Roman" w:hAnsi="Times New Roman" w:cs="Times New Roman"/>
          <w:sz w:val="24"/>
          <w:szCs w:val="24"/>
        </w:rPr>
        <w:lastRenderedPageBreak/>
        <w:t>incubated for 15 minutes away from light, followed by flow cytometry.</w:t>
      </w:r>
    </w:p>
    <w:p w14:paraId="535CCB58" w14:textId="53327089" w:rsidR="002A04D8" w:rsidRPr="00537031" w:rsidRDefault="002A04D8" w:rsidP="002A04D8">
      <w:pPr>
        <w:autoSpaceDE w:val="0"/>
        <w:autoSpaceDN w:val="0"/>
        <w:adjustRightInd w:val="0"/>
        <w:spacing w:line="360" w:lineRule="auto"/>
        <w:rPr>
          <w:rFonts w:ascii="Times New Roman" w:hAnsi="Times New Roman" w:cs="Times New Roman"/>
          <w:b/>
          <w:bCs/>
          <w:sz w:val="24"/>
          <w:szCs w:val="24"/>
        </w:rPr>
      </w:pPr>
      <w:r w:rsidRPr="002A04D8">
        <w:rPr>
          <w:rFonts w:ascii="Times New Roman" w:hAnsi="Times New Roman" w:cs="Times New Roman"/>
          <w:b/>
          <w:bCs/>
          <w:sz w:val="24"/>
          <w:szCs w:val="24"/>
        </w:rPr>
        <w:t>Animal studies</w:t>
      </w:r>
    </w:p>
    <w:p w14:paraId="2E6A6A30" w14:textId="22282607" w:rsidR="002A04D8" w:rsidRPr="002A04D8" w:rsidRDefault="002A04D8" w:rsidP="002A04D8">
      <w:pPr>
        <w:autoSpaceDE w:val="0"/>
        <w:autoSpaceDN w:val="0"/>
        <w:adjustRightInd w:val="0"/>
        <w:spacing w:line="360" w:lineRule="auto"/>
        <w:ind w:firstLineChars="50" w:firstLine="120"/>
        <w:rPr>
          <w:rFonts w:ascii="Times New Roman" w:hAnsi="Times New Roman" w:cs="Times New Roman"/>
          <w:sz w:val="24"/>
          <w:szCs w:val="24"/>
        </w:rPr>
      </w:pPr>
      <w:r w:rsidRPr="002A04D8">
        <w:rPr>
          <w:rFonts w:ascii="Times New Roman" w:hAnsi="Times New Roman" w:cs="Times New Roman"/>
          <w:sz w:val="24"/>
          <w:szCs w:val="24"/>
        </w:rPr>
        <w:t xml:space="preserve">A Subcutaneous xenograft tumor model was established in the ventral region of female BALB/c athymic mice at 4- week-old of age. BALB/c athymic mice were randomly divided into two groups, for stable silencing, DLD1 cells were stably transfected with lentiviruses to knock-down sh-LTBP1 or </w:t>
      </w:r>
      <w:proofErr w:type="spellStart"/>
      <w:r w:rsidRPr="002A04D8">
        <w:rPr>
          <w:rFonts w:ascii="Times New Roman" w:hAnsi="Times New Roman" w:cs="Times New Roman"/>
          <w:sz w:val="24"/>
          <w:szCs w:val="24"/>
        </w:rPr>
        <w:t>sh</w:t>
      </w:r>
      <w:proofErr w:type="spellEnd"/>
      <w:r w:rsidRPr="002A04D8">
        <w:rPr>
          <w:rFonts w:ascii="Times New Roman" w:hAnsi="Times New Roman" w:cs="Times New Roman"/>
          <w:sz w:val="24"/>
          <w:szCs w:val="24"/>
        </w:rPr>
        <w:t>-NC. The lentiviruses sequences are sh-LTBP1: CCGGATGGATTTCAGCTAGAT. Approximately 2 × 10</w:t>
      </w:r>
      <w:r w:rsidRPr="002A04D8">
        <w:rPr>
          <w:rFonts w:ascii="Times New Roman" w:hAnsi="Times New Roman" w:cs="Times New Roman"/>
          <w:sz w:val="24"/>
          <w:szCs w:val="24"/>
          <w:vertAlign w:val="superscript"/>
        </w:rPr>
        <w:t>6</w:t>
      </w:r>
      <w:r w:rsidRPr="002A04D8">
        <w:rPr>
          <w:rFonts w:ascii="Times New Roman" w:hAnsi="Times New Roman" w:cs="Times New Roman"/>
          <w:sz w:val="24"/>
          <w:szCs w:val="24"/>
        </w:rPr>
        <w:t xml:space="preserve"> cell in PBS were injected into the right subcutaneous area of athymic mice (BALB/C, 4 weeks old, n = 3 per group). Monitoring of tumor nodules was performed, and the tumor volume was estimated using the following formula: volume = longest diameter × (smallest diameter)2/2. On day 28, the animals were euthanized, and the tumors were excised and weighed, the weight of the tumors was recorded. Animal research was approved by the Ethics Review Committee of the </w:t>
      </w:r>
      <w:proofErr w:type="spellStart"/>
      <w:r w:rsidRPr="002A04D8">
        <w:rPr>
          <w:rFonts w:ascii="Times New Roman" w:hAnsi="Times New Roman" w:cs="Times New Roman"/>
          <w:sz w:val="24"/>
          <w:szCs w:val="24"/>
        </w:rPr>
        <w:t>The</w:t>
      </w:r>
      <w:proofErr w:type="spellEnd"/>
      <w:r w:rsidRPr="002A04D8">
        <w:rPr>
          <w:rFonts w:ascii="Times New Roman" w:hAnsi="Times New Roman" w:cs="Times New Roman"/>
          <w:sz w:val="24"/>
          <w:szCs w:val="24"/>
        </w:rPr>
        <w:t xml:space="preserve"> Second Affiliated Hospital of Zhejiang University (SAHZU)</w:t>
      </w:r>
      <w:r>
        <w:rPr>
          <w:rFonts w:ascii="Times New Roman" w:hAnsi="Times New Roman" w:cs="Times New Roman" w:hint="eastAsia"/>
          <w:sz w:val="24"/>
          <w:szCs w:val="24"/>
        </w:rPr>
        <w:t>.</w:t>
      </w:r>
    </w:p>
    <w:p w14:paraId="28878DF0" w14:textId="77777777" w:rsidR="00537031" w:rsidRPr="002A04D8" w:rsidRDefault="00537031" w:rsidP="00952897">
      <w:pPr>
        <w:autoSpaceDE w:val="0"/>
        <w:autoSpaceDN w:val="0"/>
        <w:adjustRightInd w:val="0"/>
        <w:spacing w:line="360" w:lineRule="auto"/>
        <w:ind w:firstLineChars="50" w:firstLine="120"/>
        <w:rPr>
          <w:rFonts w:ascii="Times New Roman" w:hAnsi="Times New Roman" w:cs="Times New Roman"/>
          <w:sz w:val="24"/>
          <w:szCs w:val="24"/>
        </w:rPr>
      </w:pPr>
    </w:p>
    <w:p w14:paraId="6EEDDDF8" w14:textId="77777777" w:rsidR="006B74D8" w:rsidRDefault="006B74D8">
      <w:pPr>
        <w:widowControl/>
        <w:jc w:val="left"/>
        <w:rPr>
          <w:rFonts w:ascii="Times New Roman" w:hAnsi="Times New Roman" w:cs="Times New Roman"/>
          <w:sz w:val="24"/>
          <w:szCs w:val="24"/>
        </w:rPr>
      </w:pPr>
      <w:bookmarkStart w:id="2" w:name="_Hlk171685562"/>
    </w:p>
    <w:bookmarkEnd w:id="2"/>
    <w:p w14:paraId="5BA2506D" w14:textId="77777777" w:rsidR="00AF04D3" w:rsidRDefault="0075009B" w:rsidP="00AF04D3">
      <w:pPr>
        <w:jc w:val="center"/>
        <w:rPr>
          <w:rFonts w:ascii="Times New Roman" w:hAnsi="Times New Roman" w:cs="Times New Roman"/>
          <w:b/>
          <w:sz w:val="28"/>
          <w:szCs w:val="28"/>
        </w:rPr>
      </w:pPr>
      <w:r w:rsidRPr="0075009B">
        <w:rPr>
          <w:rFonts w:ascii="Times New Roman" w:hAnsi="Times New Roman" w:cs="Times New Roman"/>
          <w:b/>
          <w:sz w:val="28"/>
          <w:szCs w:val="28"/>
        </w:rPr>
        <w:t>Supplementary Figures</w:t>
      </w:r>
    </w:p>
    <w:p w14:paraId="740661E9" w14:textId="74226463" w:rsidR="00AB69F9" w:rsidRDefault="00EF5FB6" w:rsidP="00555711">
      <w:pPr>
        <w:spacing w:line="360" w:lineRule="auto"/>
        <w:rPr>
          <w:rFonts w:ascii="Times New Roman" w:hAnsi="Times New Roman" w:cs="Times New Roman"/>
          <w:sz w:val="24"/>
          <w:szCs w:val="24"/>
        </w:rPr>
      </w:pPr>
      <w:r w:rsidRPr="00EF5FB6">
        <w:rPr>
          <w:noProof/>
        </w:rPr>
        <w:t xml:space="preserve"> </w:t>
      </w:r>
      <w:r>
        <w:rPr>
          <w:noProof/>
        </w:rPr>
        <w:drawing>
          <wp:inline distT="0" distB="0" distL="0" distR="0" wp14:anchorId="46ED2024" wp14:editId="11F6EBE2">
            <wp:extent cx="5270500" cy="2362200"/>
            <wp:effectExtent l="0" t="0" r="6350" b="0"/>
            <wp:docPr id="18366708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70803" name="图片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0500" cy="2362200"/>
                    </a:xfrm>
                    <a:prstGeom prst="rect">
                      <a:avLst/>
                    </a:prstGeom>
                    <a:noFill/>
                    <a:ln>
                      <a:noFill/>
                    </a:ln>
                  </pic:spPr>
                </pic:pic>
              </a:graphicData>
            </a:graphic>
          </wp:inline>
        </w:drawing>
      </w:r>
    </w:p>
    <w:p w14:paraId="78E705F5" w14:textId="51E8ED58" w:rsidR="009329C1" w:rsidRPr="00EF5FB6" w:rsidRDefault="00AB69F9" w:rsidP="00EF5FB6">
      <w:pPr>
        <w:spacing w:line="360" w:lineRule="auto"/>
        <w:rPr>
          <w:rFonts w:ascii="Times New Roman" w:hAnsi="Times New Roman" w:cs="Times New Roman"/>
          <w:sz w:val="28"/>
          <w:szCs w:val="28"/>
        </w:rPr>
      </w:pPr>
      <w:r w:rsidRPr="00CC01C4">
        <w:rPr>
          <w:rFonts w:ascii="Times New Roman" w:hAnsi="Times New Roman" w:cs="Times New Roman"/>
          <w:b/>
          <w:sz w:val="24"/>
          <w:szCs w:val="24"/>
        </w:rPr>
        <w:t xml:space="preserve">Fig. S1. </w:t>
      </w:r>
      <w:r w:rsidR="00EF5FB6" w:rsidRPr="00EF5FB6">
        <w:rPr>
          <w:rFonts w:ascii="Times New Roman" w:hAnsi="Times New Roman" w:cs="Times New Roman"/>
          <w:b/>
          <w:sz w:val="24"/>
          <w:szCs w:val="24"/>
        </w:rPr>
        <w:t>Results of univariate and multivariate COX regression.</w:t>
      </w:r>
    </w:p>
    <w:sectPr w:rsidR="009329C1" w:rsidRPr="00EF5F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7263A5" w14:textId="77777777" w:rsidR="005F71A4" w:rsidRDefault="005F71A4" w:rsidP="00B033B3">
      <w:r>
        <w:separator/>
      </w:r>
    </w:p>
  </w:endnote>
  <w:endnote w:type="continuationSeparator" w:id="0">
    <w:p w14:paraId="6441B88A" w14:textId="77777777" w:rsidR="005F71A4" w:rsidRDefault="005F71A4" w:rsidP="00B03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B9D3FC" w14:textId="77777777" w:rsidR="005F71A4" w:rsidRDefault="005F71A4" w:rsidP="00B033B3">
      <w:r>
        <w:separator/>
      </w:r>
    </w:p>
  </w:footnote>
  <w:footnote w:type="continuationSeparator" w:id="0">
    <w:p w14:paraId="0E60515E" w14:textId="77777777" w:rsidR="005F71A4" w:rsidRDefault="005F71A4" w:rsidP="00B033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364D1"/>
    <w:rsid w:val="00014B23"/>
    <w:rsid w:val="00014C4A"/>
    <w:rsid w:val="00017BFB"/>
    <w:rsid w:val="000333E3"/>
    <w:rsid w:val="00057A55"/>
    <w:rsid w:val="0006179D"/>
    <w:rsid w:val="00070237"/>
    <w:rsid w:val="000847FC"/>
    <w:rsid w:val="000921BF"/>
    <w:rsid w:val="00097855"/>
    <w:rsid w:val="000A3AE2"/>
    <w:rsid w:val="000A6A74"/>
    <w:rsid w:val="000B1D66"/>
    <w:rsid w:val="000B33E1"/>
    <w:rsid w:val="0013627C"/>
    <w:rsid w:val="001375EA"/>
    <w:rsid w:val="00160C12"/>
    <w:rsid w:val="001610A6"/>
    <w:rsid w:val="00161FC9"/>
    <w:rsid w:val="00164681"/>
    <w:rsid w:val="0016708B"/>
    <w:rsid w:val="001A1246"/>
    <w:rsid w:val="001B0155"/>
    <w:rsid w:val="001E744B"/>
    <w:rsid w:val="00207F09"/>
    <w:rsid w:val="002151DC"/>
    <w:rsid w:val="0022589D"/>
    <w:rsid w:val="00227A03"/>
    <w:rsid w:val="00232D9E"/>
    <w:rsid w:val="002608F6"/>
    <w:rsid w:val="00264856"/>
    <w:rsid w:val="0027156C"/>
    <w:rsid w:val="0027499B"/>
    <w:rsid w:val="00275934"/>
    <w:rsid w:val="00281968"/>
    <w:rsid w:val="00282079"/>
    <w:rsid w:val="00287335"/>
    <w:rsid w:val="00293660"/>
    <w:rsid w:val="00295A41"/>
    <w:rsid w:val="002A04D8"/>
    <w:rsid w:val="002B324A"/>
    <w:rsid w:val="002B3351"/>
    <w:rsid w:val="002B448E"/>
    <w:rsid w:val="002C51CA"/>
    <w:rsid w:val="002D5A42"/>
    <w:rsid w:val="002E083F"/>
    <w:rsid w:val="002E3AA5"/>
    <w:rsid w:val="002E7971"/>
    <w:rsid w:val="002F19D8"/>
    <w:rsid w:val="00314677"/>
    <w:rsid w:val="0033286F"/>
    <w:rsid w:val="00340242"/>
    <w:rsid w:val="003574FD"/>
    <w:rsid w:val="00371BF3"/>
    <w:rsid w:val="0038390D"/>
    <w:rsid w:val="00395183"/>
    <w:rsid w:val="003A4E8E"/>
    <w:rsid w:val="003B06EF"/>
    <w:rsid w:val="003C7F07"/>
    <w:rsid w:val="003D3C5E"/>
    <w:rsid w:val="003F307A"/>
    <w:rsid w:val="0040742C"/>
    <w:rsid w:val="00411DEF"/>
    <w:rsid w:val="0042364B"/>
    <w:rsid w:val="004364D1"/>
    <w:rsid w:val="00451AAF"/>
    <w:rsid w:val="0045226A"/>
    <w:rsid w:val="00461699"/>
    <w:rsid w:val="004723A5"/>
    <w:rsid w:val="00475EFD"/>
    <w:rsid w:val="00483DFD"/>
    <w:rsid w:val="00495FB1"/>
    <w:rsid w:val="004B6EE9"/>
    <w:rsid w:val="004C2BC8"/>
    <w:rsid w:val="004E7D49"/>
    <w:rsid w:val="004E7E71"/>
    <w:rsid w:val="0050593B"/>
    <w:rsid w:val="00506C75"/>
    <w:rsid w:val="00511A95"/>
    <w:rsid w:val="00534F2B"/>
    <w:rsid w:val="00537031"/>
    <w:rsid w:val="00537D46"/>
    <w:rsid w:val="00555711"/>
    <w:rsid w:val="00574B02"/>
    <w:rsid w:val="00577027"/>
    <w:rsid w:val="00581164"/>
    <w:rsid w:val="00596879"/>
    <w:rsid w:val="005A2909"/>
    <w:rsid w:val="005B345C"/>
    <w:rsid w:val="005F274C"/>
    <w:rsid w:val="005F71A4"/>
    <w:rsid w:val="0060564D"/>
    <w:rsid w:val="00613AF9"/>
    <w:rsid w:val="00630869"/>
    <w:rsid w:val="006430E5"/>
    <w:rsid w:val="0064514A"/>
    <w:rsid w:val="00646C04"/>
    <w:rsid w:val="00662E97"/>
    <w:rsid w:val="0067074D"/>
    <w:rsid w:val="0067098F"/>
    <w:rsid w:val="006755A5"/>
    <w:rsid w:val="006A5758"/>
    <w:rsid w:val="006B42FD"/>
    <w:rsid w:val="006B74D8"/>
    <w:rsid w:val="006C1E83"/>
    <w:rsid w:val="006C6B07"/>
    <w:rsid w:val="006D7389"/>
    <w:rsid w:val="006D749E"/>
    <w:rsid w:val="006E2C68"/>
    <w:rsid w:val="007118EF"/>
    <w:rsid w:val="00716548"/>
    <w:rsid w:val="00725968"/>
    <w:rsid w:val="0073586D"/>
    <w:rsid w:val="00745CC9"/>
    <w:rsid w:val="0075009B"/>
    <w:rsid w:val="00771B05"/>
    <w:rsid w:val="007A2EC8"/>
    <w:rsid w:val="00836120"/>
    <w:rsid w:val="00864C56"/>
    <w:rsid w:val="00873786"/>
    <w:rsid w:val="00875DCA"/>
    <w:rsid w:val="0087701B"/>
    <w:rsid w:val="00881B70"/>
    <w:rsid w:val="00887BEF"/>
    <w:rsid w:val="008A313D"/>
    <w:rsid w:val="008A504D"/>
    <w:rsid w:val="008B5196"/>
    <w:rsid w:val="008B789E"/>
    <w:rsid w:val="008C6811"/>
    <w:rsid w:val="008F78E9"/>
    <w:rsid w:val="00930019"/>
    <w:rsid w:val="00930895"/>
    <w:rsid w:val="009329C1"/>
    <w:rsid w:val="009403CD"/>
    <w:rsid w:val="00940C18"/>
    <w:rsid w:val="00946D7E"/>
    <w:rsid w:val="00952897"/>
    <w:rsid w:val="009574CA"/>
    <w:rsid w:val="0096663D"/>
    <w:rsid w:val="009B2FD9"/>
    <w:rsid w:val="009B31C3"/>
    <w:rsid w:val="009C1AC4"/>
    <w:rsid w:val="009C6F3B"/>
    <w:rsid w:val="009D2681"/>
    <w:rsid w:val="009D45C7"/>
    <w:rsid w:val="00A16A67"/>
    <w:rsid w:val="00A25A2F"/>
    <w:rsid w:val="00A31A45"/>
    <w:rsid w:val="00A57A66"/>
    <w:rsid w:val="00A7296A"/>
    <w:rsid w:val="00A73118"/>
    <w:rsid w:val="00A73779"/>
    <w:rsid w:val="00A81DB5"/>
    <w:rsid w:val="00A87A21"/>
    <w:rsid w:val="00A903DC"/>
    <w:rsid w:val="00A90C26"/>
    <w:rsid w:val="00AB5A8F"/>
    <w:rsid w:val="00AB69F9"/>
    <w:rsid w:val="00AD4CC2"/>
    <w:rsid w:val="00AE2BC6"/>
    <w:rsid w:val="00AE2E5F"/>
    <w:rsid w:val="00AF04D3"/>
    <w:rsid w:val="00B000ED"/>
    <w:rsid w:val="00B006DB"/>
    <w:rsid w:val="00B033B3"/>
    <w:rsid w:val="00B11288"/>
    <w:rsid w:val="00B23F1E"/>
    <w:rsid w:val="00B269B8"/>
    <w:rsid w:val="00B311FB"/>
    <w:rsid w:val="00B37380"/>
    <w:rsid w:val="00B45819"/>
    <w:rsid w:val="00B621EF"/>
    <w:rsid w:val="00B6468A"/>
    <w:rsid w:val="00B65A3A"/>
    <w:rsid w:val="00B7431E"/>
    <w:rsid w:val="00BB0D14"/>
    <w:rsid w:val="00BB621B"/>
    <w:rsid w:val="00BD61C0"/>
    <w:rsid w:val="00BE710F"/>
    <w:rsid w:val="00C0087B"/>
    <w:rsid w:val="00C05DA0"/>
    <w:rsid w:val="00C23899"/>
    <w:rsid w:val="00C729A2"/>
    <w:rsid w:val="00C77AE3"/>
    <w:rsid w:val="00C82135"/>
    <w:rsid w:val="00CA2BC4"/>
    <w:rsid w:val="00CB1146"/>
    <w:rsid w:val="00CB2CDD"/>
    <w:rsid w:val="00CC00B2"/>
    <w:rsid w:val="00CC01C4"/>
    <w:rsid w:val="00CE2623"/>
    <w:rsid w:val="00CE2FD5"/>
    <w:rsid w:val="00CE3DC3"/>
    <w:rsid w:val="00CE6FE1"/>
    <w:rsid w:val="00D031A6"/>
    <w:rsid w:val="00D04618"/>
    <w:rsid w:val="00D13962"/>
    <w:rsid w:val="00D37C58"/>
    <w:rsid w:val="00D47E62"/>
    <w:rsid w:val="00D72FC0"/>
    <w:rsid w:val="00D80F33"/>
    <w:rsid w:val="00DD304A"/>
    <w:rsid w:val="00DE7A94"/>
    <w:rsid w:val="00DF4A49"/>
    <w:rsid w:val="00E00F31"/>
    <w:rsid w:val="00E502A3"/>
    <w:rsid w:val="00E92A82"/>
    <w:rsid w:val="00E94034"/>
    <w:rsid w:val="00EB179E"/>
    <w:rsid w:val="00ED1897"/>
    <w:rsid w:val="00ED3904"/>
    <w:rsid w:val="00EE254B"/>
    <w:rsid w:val="00EF5FB6"/>
    <w:rsid w:val="00F11428"/>
    <w:rsid w:val="00F34545"/>
    <w:rsid w:val="00F37E77"/>
    <w:rsid w:val="00F74F10"/>
    <w:rsid w:val="00F80BBE"/>
    <w:rsid w:val="00F94381"/>
    <w:rsid w:val="00FA66D8"/>
    <w:rsid w:val="00FA6BA9"/>
    <w:rsid w:val="00FB6477"/>
    <w:rsid w:val="00FC3C16"/>
    <w:rsid w:val="00FC5B41"/>
    <w:rsid w:val="00FD5A69"/>
    <w:rsid w:val="00FD6C6D"/>
    <w:rsid w:val="00FE0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33734"/>
  <w15:docId w15:val="{81180683-4D7F-476C-9B8E-6843E4703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19D8"/>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64D1"/>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B033B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033B3"/>
    <w:rPr>
      <w:sz w:val="18"/>
      <w:szCs w:val="18"/>
    </w:rPr>
  </w:style>
  <w:style w:type="paragraph" w:styleId="a6">
    <w:name w:val="footer"/>
    <w:basedOn w:val="a"/>
    <w:link w:val="a7"/>
    <w:uiPriority w:val="99"/>
    <w:unhideWhenUsed/>
    <w:rsid w:val="00B033B3"/>
    <w:pPr>
      <w:tabs>
        <w:tab w:val="center" w:pos="4153"/>
        <w:tab w:val="right" w:pos="8306"/>
      </w:tabs>
      <w:snapToGrid w:val="0"/>
      <w:jc w:val="left"/>
    </w:pPr>
    <w:rPr>
      <w:sz w:val="18"/>
      <w:szCs w:val="18"/>
    </w:rPr>
  </w:style>
  <w:style w:type="character" w:customStyle="1" w:styleId="a7">
    <w:name w:val="页脚 字符"/>
    <w:basedOn w:val="a0"/>
    <w:link w:val="a6"/>
    <w:uiPriority w:val="99"/>
    <w:rsid w:val="00B033B3"/>
    <w:rPr>
      <w:sz w:val="18"/>
      <w:szCs w:val="18"/>
    </w:rPr>
  </w:style>
  <w:style w:type="character" w:styleId="a8">
    <w:name w:val="Hyperlink"/>
    <w:basedOn w:val="a0"/>
    <w:uiPriority w:val="99"/>
    <w:unhideWhenUsed/>
    <w:rsid w:val="009329C1"/>
    <w:rPr>
      <w:color w:val="0563C1" w:themeColor="hyperlink"/>
      <w:u w:val="single"/>
    </w:rPr>
  </w:style>
  <w:style w:type="paragraph" w:styleId="a9">
    <w:name w:val="List Paragraph"/>
    <w:basedOn w:val="a"/>
    <w:uiPriority w:val="34"/>
    <w:qFormat/>
    <w:rsid w:val="009329C1"/>
    <w:pPr>
      <w:ind w:firstLineChars="200" w:firstLine="420"/>
    </w:pPr>
  </w:style>
  <w:style w:type="paragraph" w:styleId="aa">
    <w:name w:val="Balloon Text"/>
    <w:basedOn w:val="a"/>
    <w:link w:val="ab"/>
    <w:uiPriority w:val="99"/>
    <w:semiHidden/>
    <w:unhideWhenUsed/>
    <w:rsid w:val="00B269B8"/>
    <w:rPr>
      <w:sz w:val="18"/>
      <w:szCs w:val="18"/>
    </w:rPr>
  </w:style>
  <w:style w:type="character" w:customStyle="1" w:styleId="ab">
    <w:name w:val="批注框文本 字符"/>
    <w:basedOn w:val="a0"/>
    <w:link w:val="aa"/>
    <w:uiPriority w:val="99"/>
    <w:semiHidden/>
    <w:rsid w:val="00B269B8"/>
    <w:rPr>
      <w:sz w:val="18"/>
      <w:szCs w:val="18"/>
    </w:rPr>
  </w:style>
  <w:style w:type="paragraph" w:styleId="HTML">
    <w:name w:val="HTML Preformatted"/>
    <w:basedOn w:val="a"/>
    <w:link w:val="HTML0"/>
    <w:uiPriority w:val="99"/>
    <w:unhideWhenUsed/>
    <w:rsid w:val="00ED18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ED1897"/>
    <w:rPr>
      <w:rFonts w:ascii="宋体" w:eastAsia="宋体" w:hAnsi="宋体" w:cs="宋体"/>
      <w:kern w:val="0"/>
      <w:sz w:val="24"/>
      <w:szCs w:val="24"/>
    </w:rPr>
  </w:style>
  <w:style w:type="character" w:styleId="ac">
    <w:name w:val="annotation reference"/>
    <w:basedOn w:val="a0"/>
    <w:uiPriority w:val="99"/>
    <w:semiHidden/>
    <w:unhideWhenUsed/>
    <w:rsid w:val="00C729A2"/>
    <w:rPr>
      <w:sz w:val="21"/>
      <w:szCs w:val="21"/>
    </w:rPr>
  </w:style>
  <w:style w:type="paragraph" w:styleId="ad">
    <w:name w:val="annotation text"/>
    <w:basedOn w:val="a"/>
    <w:link w:val="ae"/>
    <w:uiPriority w:val="99"/>
    <w:semiHidden/>
    <w:unhideWhenUsed/>
    <w:rsid w:val="00C729A2"/>
    <w:pPr>
      <w:jc w:val="left"/>
    </w:pPr>
  </w:style>
  <w:style w:type="character" w:customStyle="1" w:styleId="ae">
    <w:name w:val="批注文字 字符"/>
    <w:basedOn w:val="a0"/>
    <w:link w:val="ad"/>
    <w:uiPriority w:val="99"/>
    <w:semiHidden/>
    <w:rsid w:val="00C72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802007">
      <w:bodyDiv w:val="1"/>
      <w:marLeft w:val="0"/>
      <w:marRight w:val="0"/>
      <w:marTop w:val="0"/>
      <w:marBottom w:val="0"/>
      <w:divBdr>
        <w:top w:val="none" w:sz="0" w:space="0" w:color="auto"/>
        <w:left w:val="none" w:sz="0" w:space="0" w:color="auto"/>
        <w:bottom w:val="none" w:sz="0" w:space="0" w:color="auto"/>
        <w:right w:val="none" w:sz="0" w:space="0" w:color="auto"/>
      </w:divBdr>
    </w:div>
    <w:div w:id="475991575">
      <w:bodyDiv w:val="1"/>
      <w:marLeft w:val="0"/>
      <w:marRight w:val="0"/>
      <w:marTop w:val="0"/>
      <w:marBottom w:val="0"/>
      <w:divBdr>
        <w:top w:val="none" w:sz="0" w:space="0" w:color="auto"/>
        <w:left w:val="none" w:sz="0" w:space="0" w:color="auto"/>
        <w:bottom w:val="none" w:sz="0" w:space="0" w:color="auto"/>
        <w:right w:val="none" w:sz="0" w:space="0" w:color="auto"/>
      </w:divBdr>
    </w:div>
    <w:div w:id="499779841">
      <w:bodyDiv w:val="1"/>
      <w:marLeft w:val="0"/>
      <w:marRight w:val="0"/>
      <w:marTop w:val="0"/>
      <w:marBottom w:val="0"/>
      <w:divBdr>
        <w:top w:val="none" w:sz="0" w:space="0" w:color="auto"/>
        <w:left w:val="none" w:sz="0" w:space="0" w:color="auto"/>
        <w:bottom w:val="none" w:sz="0" w:space="0" w:color="auto"/>
        <w:right w:val="none" w:sz="0" w:space="0" w:color="auto"/>
      </w:divBdr>
    </w:div>
    <w:div w:id="586841771">
      <w:bodyDiv w:val="1"/>
      <w:marLeft w:val="0"/>
      <w:marRight w:val="0"/>
      <w:marTop w:val="0"/>
      <w:marBottom w:val="0"/>
      <w:divBdr>
        <w:top w:val="none" w:sz="0" w:space="0" w:color="auto"/>
        <w:left w:val="none" w:sz="0" w:space="0" w:color="auto"/>
        <w:bottom w:val="none" w:sz="0" w:space="0" w:color="auto"/>
        <w:right w:val="none" w:sz="0" w:space="0" w:color="auto"/>
      </w:divBdr>
    </w:div>
    <w:div w:id="662658604">
      <w:bodyDiv w:val="1"/>
      <w:marLeft w:val="0"/>
      <w:marRight w:val="0"/>
      <w:marTop w:val="0"/>
      <w:marBottom w:val="0"/>
      <w:divBdr>
        <w:top w:val="none" w:sz="0" w:space="0" w:color="auto"/>
        <w:left w:val="none" w:sz="0" w:space="0" w:color="auto"/>
        <w:bottom w:val="none" w:sz="0" w:space="0" w:color="auto"/>
        <w:right w:val="none" w:sz="0" w:space="0" w:color="auto"/>
      </w:divBdr>
    </w:div>
    <w:div w:id="934290644">
      <w:bodyDiv w:val="1"/>
      <w:marLeft w:val="0"/>
      <w:marRight w:val="0"/>
      <w:marTop w:val="0"/>
      <w:marBottom w:val="0"/>
      <w:divBdr>
        <w:top w:val="none" w:sz="0" w:space="0" w:color="auto"/>
        <w:left w:val="none" w:sz="0" w:space="0" w:color="auto"/>
        <w:bottom w:val="none" w:sz="0" w:space="0" w:color="auto"/>
        <w:right w:val="none" w:sz="0" w:space="0" w:color="auto"/>
      </w:divBdr>
    </w:div>
    <w:div w:id="945311375">
      <w:bodyDiv w:val="1"/>
      <w:marLeft w:val="0"/>
      <w:marRight w:val="0"/>
      <w:marTop w:val="0"/>
      <w:marBottom w:val="0"/>
      <w:divBdr>
        <w:top w:val="none" w:sz="0" w:space="0" w:color="auto"/>
        <w:left w:val="none" w:sz="0" w:space="0" w:color="auto"/>
        <w:bottom w:val="none" w:sz="0" w:space="0" w:color="auto"/>
        <w:right w:val="none" w:sz="0" w:space="0" w:color="auto"/>
      </w:divBdr>
    </w:div>
    <w:div w:id="1163551569">
      <w:bodyDiv w:val="1"/>
      <w:marLeft w:val="0"/>
      <w:marRight w:val="0"/>
      <w:marTop w:val="0"/>
      <w:marBottom w:val="0"/>
      <w:divBdr>
        <w:top w:val="none" w:sz="0" w:space="0" w:color="auto"/>
        <w:left w:val="none" w:sz="0" w:space="0" w:color="auto"/>
        <w:bottom w:val="none" w:sz="0" w:space="0" w:color="auto"/>
        <w:right w:val="none" w:sz="0" w:space="0" w:color="auto"/>
      </w:divBdr>
    </w:div>
    <w:div w:id="1497109335">
      <w:bodyDiv w:val="1"/>
      <w:marLeft w:val="0"/>
      <w:marRight w:val="0"/>
      <w:marTop w:val="0"/>
      <w:marBottom w:val="0"/>
      <w:divBdr>
        <w:top w:val="none" w:sz="0" w:space="0" w:color="auto"/>
        <w:left w:val="none" w:sz="0" w:space="0" w:color="auto"/>
        <w:bottom w:val="none" w:sz="0" w:space="0" w:color="auto"/>
        <w:right w:val="none" w:sz="0" w:space="0" w:color="auto"/>
      </w:divBdr>
    </w:div>
    <w:div w:id="1532570370">
      <w:bodyDiv w:val="1"/>
      <w:marLeft w:val="0"/>
      <w:marRight w:val="0"/>
      <w:marTop w:val="0"/>
      <w:marBottom w:val="0"/>
      <w:divBdr>
        <w:top w:val="none" w:sz="0" w:space="0" w:color="auto"/>
        <w:left w:val="none" w:sz="0" w:space="0" w:color="auto"/>
        <w:bottom w:val="none" w:sz="0" w:space="0" w:color="auto"/>
        <w:right w:val="none" w:sz="0" w:space="0" w:color="auto"/>
      </w:divBdr>
    </w:div>
    <w:div w:id="1695040344">
      <w:bodyDiv w:val="1"/>
      <w:marLeft w:val="0"/>
      <w:marRight w:val="0"/>
      <w:marTop w:val="0"/>
      <w:marBottom w:val="0"/>
      <w:divBdr>
        <w:top w:val="none" w:sz="0" w:space="0" w:color="auto"/>
        <w:left w:val="none" w:sz="0" w:space="0" w:color="auto"/>
        <w:bottom w:val="none" w:sz="0" w:space="0" w:color="auto"/>
        <w:right w:val="none" w:sz="0" w:space="0" w:color="auto"/>
      </w:divBdr>
    </w:div>
    <w:div w:id="1791121594">
      <w:bodyDiv w:val="1"/>
      <w:marLeft w:val="0"/>
      <w:marRight w:val="0"/>
      <w:marTop w:val="0"/>
      <w:marBottom w:val="0"/>
      <w:divBdr>
        <w:top w:val="none" w:sz="0" w:space="0" w:color="auto"/>
        <w:left w:val="none" w:sz="0" w:space="0" w:color="auto"/>
        <w:bottom w:val="none" w:sz="0" w:space="0" w:color="auto"/>
        <w:right w:val="none" w:sz="0" w:space="0" w:color="auto"/>
      </w:divBdr>
    </w:div>
    <w:div w:id="2025277251">
      <w:bodyDiv w:val="1"/>
      <w:marLeft w:val="0"/>
      <w:marRight w:val="0"/>
      <w:marTop w:val="0"/>
      <w:marBottom w:val="0"/>
      <w:divBdr>
        <w:top w:val="none" w:sz="0" w:space="0" w:color="auto"/>
        <w:left w:val="none" w:sz="0" w:space="0" w:color="auto"/>
        <w:bottom w:val="none" w:sz="0" w:space="0" w:color="auto"/>
        <w:right w:val="none" w:sz="0" w:space="0" w:color="auto"/>
      </w:divBdr>
    </w:div>
    <w:div w:id="2085951885">
      <w:bodyDiv w:val="1"/>
      <w:marLeft w:val="0"/>
      <w:marRight w:val="0"/>
      <w:marTop w:val="0"/>
      <w:marBottom w:val="0"/>
      <w:divBdr>
        <w:top w:val="none" w:sz="0" w:space="0" w:color="auto"/>
        <w:left w:val="none" w:sz="0" w:space="0" w:color="auto"/>
        <w:bottom w:val="none" w:sz="0" w:space="0" w:color="auto"/>
        <w:right w:val="none" w:sz="0" w:space="0" w:color="auto"/>
      </w:divBdr>
    </w:div>
    <w:div w:id="2112241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E2352-B622-4BA6-A91A-1ED82C7BA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1310</TotalTime>
  <Pages>3</Pages>
  <Words>726</Words>
  <Characters>4144</Characters>
  <Application>Microsoft Office Word</Application>
  <DocSecurity>0</DocSecurity>
  <Lines>34</Lines>
  <Paragraphs>9</Paragraphs>
  <ScaleCrop>false</ScaleCrop>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WYJ</dc:creator>
  <cp:keywords/>
  <dc:description/>
  <cp:lastModifiedBy>修远 张</cp:lastModifiedBy>
  <cp:revision>5</cp:revision>
  <dcterms:created xsi:type="dcterms:W3CDTF">2024-07-02T06:38:00Z</dcterms:created>
  <dcterms:modified xsi:type="dcterms:W3CDTF">2024-08-19T12:48:00Z</dcterms:modified>
</cp:coreProperties>
</file>