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E64E9" w14:textId="77777777" w:rsidR="00500EEF" w:rsidRDefault="00500EEF" w:rsidP="00500E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58DE">
        <w:rPr>
          <w:rFonts w:ascii="Times New Roman" w:hAnsi="Times New Roman" w:cs="Times New Roman"/>
          <w:b/>
          <w:bCs/>
          <w:sz w:val="24"/>
          <w:szCs w:val="24"/>
        </w:rPr>
        <w:t>TABLE: Demographics of patients receiving continuous ketamine infusion for RSE</w:t>
      </w:r>
    </w:p>
    <w:p w14:paraId="03A2394E" w14:textId="77777777" w:rsidR="00500EEF" w:rsidRPr="00E458DE" w:rsidRDefault="00500EEF" w:rsidP="00500EE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dTable2"/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046"/>
        <w:gridCol w:w="1495"/>
        <w:gridCol w:w="1869"/>
        <w:gridCol w:w="1944"/>
        <w:gridCol w:w="2991"/>
      </w:tblGrid>
      <w:tr w:rsidR="00500EEF" w:rsidRPr="00CA5E7A" w14:paraId="264CFF14" w14:textId="77777777" w:rsidTr="00842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7D2627" w14:textId="77777777" w:rsidR="00500EEF" w:rsidRPr="0072491A" w:rsidRDefault="00500EEF" w:rsidP="00EE6933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Patient</w:t>
            </w:r>
          </w:p>
        </w:tc>
        <w:tc>
          <w:tcPr>
            <w:tcW w:w="1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2D5E37" w14:textId="77777777" w:rsidR="00500EEF" w:rsidRPr="0072491A" w:rsidRDefault="00500EEF" w:rsidP="00EE6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8438BA" w14:textId="77777777" w:rsidR="00500EEF" w:rsidRPr="0072491A" w:rsidRDefault="00500EEF" w:rsidP="00EE6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Underlying Etiology</w:t>
            </w:r>
          </w:p>
        </w:tc>
        <w:tc>
          <w:tcPr>
            <w:tcW w:w="1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810739" w14:textId="77777777" w:rsidR="00500EEF" w:rsidRPr="0072491A" w:rsidRDefault="00500EEF" w:rsidP="00EE6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Anti-Seizure Medications Prior to Ketamine</w:t>
            </w:r>
          </w:p>
        </w:tc>
        <w:tc>
          <w:tcPr>
            <w:tcW w:w="1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FECC67" w14:textId="77777777" w:rsidR="00500EEF" w:rsidRPr="0072491A" w:rsidRDefault="00500EEF" w:rsidP="00EE6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Concomitant Anti-Seizure Medications with Ketamine</w:t>
            </w:r>
          </w:p>
        </w:tc>
        <w:tc>
          <w:tcPr>
            <w:tcW w:w="29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8F47C30" w14:textId="77777777" w:rsidR="00500EEF" w:rsidRPr="0072491A" w:rsidRDefault="00500EEF" w:rsidP="00EE6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</w:p>
        </w:tc>
      </w:tr>
      <w:tr w:rsidR="00500EEF" w:rsidRPr="00CA5E7A" w14:paraId="191992C0" w14:textId="77777777" w:rsidTr="00842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72E25A3C" w14:textId="77777777" w:rsidR="00500EEF" w:rsidRPr="0072491A" w:rsidRDefault="00500EEF" w:rsidP="00EE6933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14:paraId="70ACA3EF" w14:textId="77777777" w:rsidR="00500EEF" w:rsidRPr="0072491A" w:rsidRDefault="00500EEF" w:rsidP="00EE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29 days</w:t>
            </w:r>
          </w:p>
          <w:p w14:paraId="2A19F6A5" w14:textId="77777777" w:rsidR="00500EEF" w:rsidRPr="0072491A" w:rsidRDefault="00500EEF" w:rsidP="00EE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(Corrected to 40 weeks)</w:t>
            </w:r>
          </w:p>
        </w:tc>
        <w:tc>
          <w:tcPr>
            <w:tcW w:w="1495" w:type="dxa"/>
            <w:vAlign w:val="center"/>
          </w:tcPr>
          <w:p w14:paraId="4117E44B" w14:textId="77777777" w:rsidR="00500EEF" w:rsidRPr="0072491A" w:rsidRDefault="00500EEF" w:rsidP="00EE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Abusive head trauma</w:t>
            </w:r>
          </w:p>
        </w:tc>
        <w:tc>
          <w:tcPr>
            <w:tcW w:w="1869" w:type="dxa"/>
          </w:tcPr>
          <w:p w14:paraId="4C9DEE9B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Lorazepam</w:t>
            </w:r>
          </w:p>
          <w:p w14:paraId="61D79695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Phenobarbital</w:t>
            </w:r>
          </w:p>
          <w:p w14:paraId="26B8D003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Fosphenytoin</w:t>
            </w:r>
          </w:p>
          <w:p w14:paraId="1B10BC90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Midazolam</w:t>
            </w:r>
          </w:p>
          <w:p w14:paraId="6C1EA000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Levetiracetam</w:t>
            </w:r>
          </w:p>
          <w:p w14:paraId="6DED08F9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Pentobarbital</w:t>
            </w:r>
          </w:p>
          <w:p w14:paraId="397E24BB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Lacosamide</w:t>
            </w:r>
            <w:proofErr w:type="spellEnd"/>
          </w:p>
          <w:p w14:paraId="3753DF8B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Topiramate</w:t>
            </w:r>
          </w:p>
        </w:tc>
        <w:tc>
          <w:tcPr>
            <w:tcW w:w="1944" w:type="dxa"/>
            <w:vAlign w:val="center"/>
          </w:tcPr>
          <w:p w14:paraId="27B3A785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Levetiracetam</w:t>
            </w:r>
          </w:p>
          <w:p w14:paraId="322E72DB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Lacosamide</w:t>
            </w:r>
            <w:proofErr w:type="spellEnd"/>
          </w:p>
          <w:p w14:paraId="3AF917B9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Phenobarbital</w:t>
            </w:r>
          </w:p>
          <w:p w14:paraId="010FD7B9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Fosphenytoin</w:t>
            </w:r>
          </w:p>
          <w:p w14:paraId="57D37A92" w14:textId="77777777" w:rsidR="00500EEF" w:rsidRPr="0072491A" w:rsidRDefault="00500EEF" w:rsidP="00500EE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Topiramate</w:t>
            </w:r>
          </w:p>
          <w:p w14:paraId="67120CE1" w14:textId="77777777" w:rsidR="00500EEF" w:rsidRPr="0072491A" w:rsidRDefault="00500EEF" w:rsidP="00EE693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3A84F0E0" w14:textId="77777777" w:rsidR="00500EEF" w:rsidRPr="0072491A" w:rsidRDefault="00500EEF" w:rsidP="00EE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Successful discontinuation of vasopressors, resolution of seizure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 </w:t>
            </w: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on EEG, and subsequent tapering of maintenance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anti-seizure medications</w:t>
            </w: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prior to discharge</w:t>
            </w:r>
          </w:p>
        </w:tc>
      </w:tr>
      <w:tr w:rsidR="00500EEF" w:rsidRPr="00CA5E7A" w14:paraId="48ADCD39" w14:textId="77777777" w:rsidTr="0084293E">
        <w:trPr>
          <w:trHeight w:val="10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051F8D45" w14:textId="77777777" w:rsidR="00500EEF" w:rsidRPr="00137B7C" w:rsidRDefault="00500EEF" w:rsidP="00EE6933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vertAlign w:val="superscript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6" w:type="dxa"/>
            <w:vAlign w:val="center"/>
          </w:tcPr>
          <w:p w14:paraId="267B486A" w14:textId="77777777" w:rsidR="00500EEF" w:rsidRPr="0072491A" w:rsidRDefault="00500EEF" w:rsidP="00EE6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52 days</w:t>
            </w:r>
          </w:p>
          <w:p w14:paraId="6295D4C3" w14:textId="77777777" w:rsidR="00500EEF" w:rsidRPr="0072491A" w:rsidRDefault="00500EEF" w:rsidP="00EE6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(Corrected to 40 weeks)</w:t>
            </w:r>
          </w:p>
        </w:tc>
        <w:tc>
          <w:tcPr>
            <w:tcW w:w="1495" w:type="dxa"/>
            <w:vAlign w:val="center"/>
          </w:tcPr>
          <w:p w14:paraId="291016E8" w14:textId="77777777" w:rsidR="00500EEF" w:rsidRPr="0072491A" w:rsidRDefault="00500EEF" w:rsidP="00EE6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Ischemic stroke secondary to vein of Galen malformation</w:t>
            </w:r>
          </w:p>
        </w:tc>
        <w:tc>
          <w:tcPr>
            <w:tcW w:w="1869" w:type="dxa"/>
          </w:tcPr>
          <w:p w14:paraId="694B827E" w14:textId="77777777" w:rsidR="00500EEF" w:rsidRPr="0072491A" w:rsidRDefault="00500EEF" w:rsidP="00500EE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Lorazepam</w:t>
            </w:r>
          </w:p>
          <w:p w14:paraId="10DA0F2B" w14:textId="77777777" w:rsidR="00500EEF" w:rsidRPr="0072491A" w:rsidRDefault="00500EEF" w:rsidP="00500EE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Phenobarbital</w:t>
            </w:r>
          </w:p>
          <w:p w14:paraId="18848D9C" w14:textId="77777777" w:rsidR="00500EEF" w:rsidRPr="0072491A" w:rsidRDefault="00500EEF" w:rsidP="00500EE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Fosphenytoin</w:t>
            </w:r>
          </w:p>
          <w:p w14:paraId="30395ADC" w14:textId="77777777" w:rsidR="00500EEF" w:rsidRPr="0072491A" w:rsidRDefault="00500EEF" w:rsidP="00500EE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Levetiracetam</w:t>
            </w:r>
          </w:p>
          <w:p w14:paraId="235F84D0" w14:textId="77777777" w:rsidR="00500EEF" w:rsidRPr="0072491A" w:rsidRDefault="00500EEF" w:rsidP="00500EE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Midazolam</w:t>
            </w:r>
          </w:p>
        </w:tc>
        <w:tc>
          <w:tcPr>
            <w:tcW w:w="1944" w:type="dxa"/>
            <w:vAlign w:val="center"/>
          </w:tcPr>
          <w:p w14:paraId="2276DFB4" w14:textId="77777777" w:rsidR="00500EEF" w:rsidRPr="0072491A" w:rsidRDefault="00500EEF" w:rsidP="00500EE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Fosphenytoin</w:t>
            </w:r>
          </w:p>
          <w:p w14:paraId="4570C273" w14:textId="77777777" w:rsidR="00500EEF" w:rsidRPr="0072491A" w:rsidRDefault="00500EEF" w:rsidP="00500EE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Midazolam</w:t>
            </w:r>
          </w:p>
          <w:p w14:paraId="11E08940" w14:textId="77777777" w:rsidR="00500EEF" w:rsidRPr="0072491A" w:rsidRDefault="00500EEF" w:rsidP="00500EE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Levetiracetam</w:t>
            </w:r>
          </w:p>
        </w:tc>
        <w:tc>
          <w:tcPr>
            <w:tcW w:w="2991" w:type="dxa"/>
            <w:vAlign w:val="center"/>
          </w:tcPr>
          <w:p w14:paraId="6DFE1D0F" w14:textId="77777777" w:rsidR="00500EEF" w:rsidRPr="0072491A" w:rsidRDefault="00500EEF" w:rsidP="00EE6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Resolution of seizure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and continuation of maintenance therapy with levetiracetam and topiramate</w:t>
            </w:r>
          </w:p>
        </w:tc>
      </w:tr>
      <w:tr w:rsidR="00500EEF" w:rsidRPr="00CA5E7A" w14:paraId="665B0CDF" w14:textId="77777777" w:rsidTr="00842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4EA6D873" w14:textId="77777777" w:rsidR="00500EEF" w:rsidRPr="0072491A" w:rsidRDefault="00500EEF" w:rsidP="00EE6933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46" w:type="dxa"/>
            <w:vAlign w:val="center"/>
          </w:tcPr>
          <w:p w14:paraId="71CA9E53" w14:textId="77777777" w:rsidR="00500EEF" w:rsidRPr="0072491A" w:rsidRDefault="00500EEF" w:rsidP="00EE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79</w:t>
            </w: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days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0528BB3C" w14:textId="77777777" w:rsidR="00500EEF" w:rsidRPr="0072491A" w:rsidRDefault="00500EEF" w:rsidP="00EE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Ischemic stroke secondary to vein of Galen malformation</w:t>
            </w:r>
            <w:r w:rsidRPr="0072491A" w:rsidDel="00BA7D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69" w:type="dxa"/>
          </w:tcPr>
          <w:p w14:paraId="06A3A1A0" w14:textId="77777777" w:rsidR="00500EEF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Midazolam</w:t>
            </w:r>
          </w:p>
          <w:p w14:paraId="4E7C2CC6" w14:textId="77777777" w:rsidR="00500EEF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Fosphenytoin</w:t>
            </w:r>
          </w:p>
          <w:p w14:paraId="0CCE83DF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Topiramate</w:t>
            </w:r>
          </w:p>
          <w:p w14:paraId="69A5B09D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Levetiracetam</w:t>
            </w:r>
          </w:p>
          <w:p w14:paraId="1475767E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Phenobarbital</w:t>
            </w:r>
          </w:p>
        </w:tc>
        <w:tc>
          <w:tcPr>
            <w:tcW w:w="1944" w:type="dxa"/>
            <w:vAlign w:val="center"/>
          </w:tcPr>
          <w:p w14:paraId="794F721F" w14:textId="77777777" w:rsidR="00500EEF" w:rsidRPr="0072491A" w:rsidRDefault="00500EEF" w:rsidP="00EE6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7DA11DC" w14:textId="77777777" w:rsidR="00500EEF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Midazolam</w:t>
            </w:r>
          </w:p>
          <w:p w14:paraId="03EC15D8" w14:textId="77777777" w:rsidR="00500EEF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Phenobarbital</w:t>
            </w:r>
          </w:p>
          <w:p w14:paraId="130EA8C2" w14:textId="77777777" w:rsidR="00500EEF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Fosphenytoin</w:t>
            </w:r>
          </w:p>
          <w:p w14:paraId="346CD12D" w14:textId="77777777" w:rsidR="00500EEF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Lacosamide</w:t>
            </w:r>
            <w:proofErr w:type="spellEnd"/>
          </w:p>
          <w:p w14:paraId="4DA175C0" w14:textId="77777777" w:rsidR="00500EEF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Clobazam</w:t>
            </w:r>
          </w:p>
          <w:p w14:paraId="462F2EC0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Topiramate</w:t>
            </w:r>
          </w:p>
          <w:p w14:paraId="1B215A16" w14:textId="77777777" w:rsidR="00500EEF" w:rsidRPr="0072491A" w:rsidRDefault="00500EEF" w:rsidP="00EE6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6989CBC4" w14:textId="77777777" w:rsidR="00500EEF" w:rsidRPr="0072491A" w:rsidRDefault="00500EEF" w:rsidP="00EE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Resolution of seizure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and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modification of maintenance therapy to phenobarbital, topiramate, and clobazam</w:t>
            </w:r>
          </w:p>
        </w:tc>
      </w:tr>
      <w:tr w:rsidR="00500EEF" w:rsidRPr="00CA5E7A" w14:paraId="46715073" w14:textId="77777777" w:rsidTr="0084293E">
        <w:trPr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4E09ABB7" w14:textId="77777777" w:rsidR="00500EEF" w:rsidRPr="0072491A" w:rsidRDefault="00500EEF" w:rsidP="00EE6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6" w:type="dxa"/>
            <w:vAlign w:val="center"/>
          </w:tcPr>
          <w:p w14:paraId="640D6A1D" w14:textId="77777777" w:rsidR="00500EEF" w:rsidRPr="0072491A" w:rsidRDefault="00500EEF" w:rsidP="00EE6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60 days</w:t>
            </w:r>
          </w:p>
        </w:tc>
        <w:tc>
          <w:tcPr>
            <w:tcW w:w="1495" w:type="dxa"/>
            <w:vAlign w:val="center"/>
          </w:tcPr>
          <w:p w14:paraId="71ACC42E" w14:textId="77777777" w:rsidR="00500EEF" w:rsidRPr="0072491A" w:rsidRDefault="00500EEF" w:rsidP="00EE6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Neurologic injury secondary to cardiac arrest</w:t>
            </w:r>
          </w:p>
        </w:tc>
        <w:tc>
          <w:tcPr>
            <w:tcW w:w="1869" w:type="dxa"/>
          </w:tcPr>
          <w:p w14:paraId="0BEF1D43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Lorazepam</w:t>
            </w:r>
          </w:p>
          <w:p w14:paraId="6F425340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Levetiracetam</w:t>
            </w:r>
          </w:p>
          <w:p w14:paraId="5E80BC21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Fosphenytoin</w:t>
            </w:r>
          </w:p>
          <w:p w14:paraId="0BBE1DD3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Phenobarbital</w:t>
            </w:r>
          </w:p>
          <w:p w14:paraId="178AE758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Midazolam</w:t>
            </w:r>
          </w:p>
          <w:p w14:paraId="46D9DD94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Pentobarbital</w:t>
            </w:r>
          </w:p>
        </w:tc>
        <w:tc>
          <w:tcPr>
            <w:tcW w:w="1944" w:type="dxa"/>
            <w:vAlign w:val="center"/>
          </w:tcPr>
          <w:p w14:paraId="2F1662F7" w14:textId="77777777" w:rsidR="00500EEF" w:rsidRPr="0072491A" w:rsidRDefault="00500EEF" w:rsidP="00EE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8DF5C4D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Levetiracetam</w:t>
            </w:r>
          </w:p>
          <w:p w14:paraId="7BE49CC8" w14:textId="77777777" w:rsidR="00500EEF" w:rsidRPr="0072491A" w:rsidRDefault="00500EEF" w:rsidP="00500EE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>Fosphenytoin</w:t>
            </w:r>
          </w:p>
          <w:p w14:paraId="0C5FA84F" w14:textId="77777777" w:rsidR="00500EEF" w:rsidRPr="0072491A" w:rsidRDefault="00500EEF" w:rsidP="00EE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91" w:type="dxa"/>
            <w:vAlign w:val="center"/>
          </w:tcPr>
          <w:p w14:paraId="4CC897B8" w14:textId="77777777" w:rsidR="00500EEF" w:rsidRPr="0072491A" w:rsidRDefault="00500EEF" w:rsidP="00EE6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Withdrawal of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life sustaining therapy</w:t>
            </w:r>
            <w:r w:rsidRPr="007249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and death</w:t>
            </w:r>
          </w:p>
        </w:tc>
      </w:tr>
    </w:tbl>
    <w:p w14:paraId="0428271E" w14:textId="77777777" w:rsidR="00500EEF" w:rsidRPr="00143FD4" w:rsidRDefault="00500EEF" w:rsidP="00500EE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= first admission; 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= second admission</w:t>
      </w:r>
    </w:p>
    <w:p w14:paraId="13716D7D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018201BF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7389ABBD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3D045487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254D0B02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4049F2F2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659DED91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522C72BD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78398357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6A79A410" w14:textId="77777777" w:rsidR="00500EEF" w:rsidRDefault="00500EEF" w:rsidP="00500EEF">
      <w:pPr>
        <w:rPr>
          <w:rFonts w:ascii="Times New Roman" w:hAnsi="Times New Roman" w:cs="Times New Roman"/>
          <w:b/>
          <w:sz w:val="24"/>
          <w:szCs w:val="24"/>
        </w:rPr>
      </w:pPr>
    </w:p>
    <w:p w14:paraId="53D8443C" w14:textId="77777777" w:rsidR="00914898" w:rsidRDefault="00914898"/>
    <w:sectPr w:rsidR="0091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576"/>
    <w:multiLevelType w:val="hybridMultilevel"/>
    <w:tmpl w:val="5EB6D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784B96"/>
    <w:multiLevelType w:val="hybridMultilevel"/>
    <w:tmpl w:val="E83AC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1376F6"/>
    <w:multiLevelType w:val="hybridMultilevel"/>
    <w:tmpl w:val="0AF47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EF"/>
    <w:rsid w:val="00500EEF"/>
    <w:rsid w:val="0084293E"/>
    <w:rsid w:val="00914898"/>
    <w:rsid w:val="00A07A4A"/>
    <w:rsid w:val="00E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0FD8"/>
  <w15:chartTrackingRefBased/>
  <w15:docId w15:val="{71906FCD-B653-4131-91B7-F2FB6036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EEF"/>
    <w:pPr>
      <w:ind w:left="720"/>
      <w:contextualSpacing/>
    </w:pPr>
  </w:style>
  <w:style w:type="table" w:styleId="GridTable2">
    <w:name w:val="Grid Table 2"/>
    <w:basedOn w:val="TableNormal"/>
    <w:uiPriority w:val="47"/>
    <w:rsid w:val="00500EE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DeVine, Mackenzie</dc:creator>
  <cp:keywords/>
  <dc:description/>
  <cp:lastModifiedBy>DeVine, Mackenzie</cp:lastModifiedBy>
  <cp:revision>3</cp:revision>
  <dcterms:created xsi:type="dcterms:W3CDTF">2021-04-08T18:40:00Z</dcterms:created>
  <dcterms:modified xsi:type="dcterms:W3CDTF">2021-04-08T18:41:00Z</dcterms:modified>
</cp:coreProperties>
</file>