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C98623" w14:textId="77777777" w:rsidR="00657D65" w:rsidRDefault="00657D65" w:rsidP="00657D65">
      <w:pPr>
        <w:jc w:val="center"/>
        <w:rPr>
          <w:rFonts w:ascii="Times New Roman" w:hAnsi="Times New Roman" w:cs="Times New Roman"/>
          <w:b/>
          <w:sz w:val="20"/>
          <w:szCs w:val="20"/>
          <w:lang w:val="en-US"/>
        </w:rPr>
      </w:pPr>
      <w:r>
        <w:rPr>
          <w:rFonts w:ascii="Times New Roman" w:hAnsi="Times New Roman" w:cs="Times New Roman"/>
          <w:b/>
          <w:sz w:val="20"/>
          <w:szCs w:val="20"/>
          <w:lang w:val="en-US"/>
        </w:rPr>
        <w:t>High-resolution climate</w:t>
      </w:r>
      <w:r w:rsidRPr="00564905">
        <w:rPr>
          <w:rFonts w:ascii="Times New Roman" w:hAnsi="Times New Roman" w:cs="Times New Roman"/>
          <w:b/>
          <w:sz w:val="20"/>
          <w:szCs w:val="20"/>
          <w:lang w:val="en-US"/>
        </w:rPr>
        <w:t xml:space="preserve"> models </w:t>
      </w:r>
      <w:r>
        <w:rPr>
          <w:rFonts w:ascii="Times New Roman" w:hAnsi="Times New Roman" w:cs="Times New Roman"/>
          <w:b/>
          <w:sz w:val="20"/>
          <w:szCs w:val="20"/>
          <w:lang w:val="en-US"/>
        </w:rPr>
        <w:t>improve simulation of</w:t>
      </w:r>
      <w:r w:rsidRPr="00564905">
        <w:rPr>
          <w:rFonts w:ascii="Times New Roman" w:hAnsi="Times New Roman" w:cs="Times New Roman"/>
          <w:b/>
          <w:sz w:val="20"/>
          <w:szCs w:val="20"/>
          <w:lang w:val="en-US"/>
        </w:rPr>
        <w:t xml:space="preserve"> monsoon rainfall </w:t>
      </w:r>
      <w:r>
        <w:rPr>
          <w:rFonts w:ascii="Times New Roman" w:hAnsi="Times New Roman" w:cs="Times New Roman"/>
          <w:b/>
          <w:sz w:val="20"/>
          <w:szCs w:val="20"/>
          <w:lang w:val="en-US"/>
        </w:rPr>
        <w:t xml:space="preserve">changes </w:t>
      </w:r>
      <w:r w:rsidRPr="00564905">
        <w:rPr>
          <w:rFonts w:ascii="Times New Roman" w:hAnsi="Times New Roman" w:cs="Times New Roman"/>
          <w:b/>
          <w:sz w:val="20"/>
          <w:szCs w:val="20"/>
          <w:lang w:val="en-US"/>
        </w:rPr>
        <w:t>in the Ganga-Brahmaputra-Meghna basin</w:t>
      </w:r>
    </w:p>
    <w:p w14:paraId="10C98624" w14:textId="751818F1" w:rsidR="00462570" w:rsidRPr="001F75D1" w:rsidRDefault="00462570" w:rsidP="00462570">
      <w:pPr>
        <w:jc w:val="center"/>
        <w:rPr>
          <w:rFonts w:ascii="Times New Roman" w:hAnsi="Times New Roman" w:cs="Times New Roman"/>
          <w:sz w:val="20"/>
          <w:szCs w:val="20"/>
          <w:vertAlign w:val="superscript"/>
          <w:lang w:val="en-US"/>
        </w:rPr>
      </w:pPr>
      <w:r w:rsidRPr="00EF1244">
        <w:rPr>
          <w:rFonts w:ascii="Times New Roman" w:hAnsi="Times New Roman" w:cs="Times New Roman"/>
          <w:sz w:val="20"/>
          <w:szCs w:val="20"/>
          <w:lang w:val="en-US"/>
        </w:rPr>
        <w:t>Haider Ali</w:t>
      </w:r>
      <w:r>
        <w:rPr>
          <w:rFonts w:ascii="Times New Roman" w:hAnsi="Times New Roman" w:cs="Times New Roman"/>
          <w:sz w:val="20"/>
          <w:szCs w:val="20"/>
          <w:vertAlign w:val="superscript"/>
          <w:lang w:val="en-US"/>
        </w:rPr>
        <w:t>1, 2</w:t>
      </w:r>
      <w:r w:rsidRPr="00EF1244">
        <w:rPr>
          <w:rFonts w:ascii="Times New Roman" w:hAnsi="Times New Roman" w:cs="Times New Roman"/>
          <w:sz w:val="20"/>
          <w:szCs w:val="20"/>
          <w:lang w:val="en-US"/>
        </w:rPr>
        <w:t>, Hayley J. Fowler</w:t>
      </w:r>
      <w:r>
        <w:rPr>
          <w:rFonts w:ascii="Times New Roman" w:hAnsi="Times New Roman" w:cs="Times New Roman"/>
          <w:sz w:val="20"/>
          <w:szCs w:val="20"/>
          <w:vertAlign w:val="superscript"/>
          <w:lang w:val="en-US"/>
        </w:rPr>
        <w:t>1, 2</w:t>
      </w:r>
      <w:r w:rsidRPr="00EF1244">
        <w:rPr>
          <w:rFonts w:ascii="Times New Roman" w:hAnsi="Times New Roman" w:cs="Times New Roman"/>
          <w:sz w:val="20"/>
          <w:szCs w:val="20"/>
          <w:lang w:val="en-US"/>
        </w:rPr>
        <w:t xml:space="preserve"> &amp; Andrew G. Turner</w:t>
      </w:r>
      <w:r>
        <w:rPr>
          <w:rFonts w:ascii="Times New Roman" w:hAnsi="Times New Roman" w:cs="Times New Roman"/>
          <w:sz w:val="20"/>
          <w:szCs w:val="20"/>
          <w:vertAlign w:val="superscript"/>
          <w:lang w:val="en-US"/>
        </w:rPr>
        <w:t>3</w:t>
      </w:r>
      <w:r w:rsidR="005D0010">
        <w:rPr>
          <w:rFonts w:ascii="Times New Roman" w:hAnsi="Times New Roman" w:cs="Times New Roman"/>
          <w:sz w:val="20"/>
          <w:szCs w:val="20"/>
          <w:vertAlign w:val="superscript"/>
          <w:lang w:val="en-US"/>
        </w:rPr>
        <w:t>,4</w:t>
      </w:r>
    </w:p>
    <w:p w14:paraId="10C98625" w14:textId="77777777" w:rsidR="00462570" w:rsidRPr="00EF1244" w:rsidRDefault="00462570" w:rsidP="00462570">
      <w:pPr>
        <w:spacing w:after="100" w:afterAutospacing="1" w:line="240" w:lineRule="auto"/>
        <w:rPr>
          <w:rFonts w:ascii="Times New Roman" w:eastAsia="Times New Roman" w:hAnsi="Times New Roman" w:cs="Times New Roman"/>
          <w:sz w:val="20"/>
          <w:szCs w:val="20"/>
          <w:lang w:eastAsia="en-GB"/>
        </w:rPr>
      </w:pPr>
      <w:r w:rsidRPr="00EF1244">
        <w:rPr>
          <w:rFonts w:ascii="Times New Roman" w:eastAsia="Times New Roman" w:hAnsi="Times New Roman" w:cs="Times New Roman"/>
          <w:sz w:val="20"/>
          <w:szCs w:val="20"/>
          <w:lang w:eastAsia="en-GB"/>
        </w:rPr>
        <w:t>1. School of Engineering, Newcastle University, Newcastle upon Tyne, UK</w:t>
      </w:r>
    </w:p>
    <w:p w14:paraId="10C98626" w14:textId="77777777" w:rsidR="00462570" w:rsidRPr="00EF1244" w:rsidRDefault="00462570" w:rsidP="00462570">
      <w:pPr>
        <w:spacing w:after="100" w:afterAutospacing="1" w:line="240" w:lineRule="auto"/>
        <w:rPr>
          <w:rFonts w:ascii="Times New Roman" w:eastAsia="Times New Roman" w:hAnsi="Times New Roman" w:cs="Times New Roman"/>
          <w:sz w:val="20"/>
          <w:szCs w:val="20"/>
          <w:lang w:eastAsia="en-GB"/>
        </w:rPr>
      </w:pPr>
      <w:r w:rsidRPr="00EF1244">
        <w:rPr>
          <w:rFonts w:ascii="Times New Roman" w:eastAsia="Times New Roman" w:hAnsi="Times New Roman" w:cs="Times New Roman"/>
          <w:sz w:val="20"/>
          <w:szCs w:val="20"/>
          <w:lang w:eastAsia="en-GB"/>
        </w:rPr>
        <w:t>2. Tyndall Centre for Climate Change Research, Newcastle University, Newcastle upon Tyne, UK</w:t>
      </w:r>
    </w:p>
    <w:p w14:paraId="52C74360" w14:textId="77777777" w:rsidR="005D0010" w:rsidRDefault="00462570" w:rsidP="00462570">
      <w:pPr>
        <w:spacing w:after="100" w:afterAutospacing="1" w:line="240" w:lineRule="auto"/>
        <w:rPr>
          <w:rFonts w:ascii="Times New Roman" w:hAnsi="Times New Roman" w:cs="Times New Roman"/>
          <w:sz w:val="20"/>
          <w:szCs w:val="20"/>
          <w:shd w:val="clear" w:color="auto" w:fill="FFFFFF"/>
        </w:rPr>
      </w:pPr>
      <w:r w:rsidRPr="00EF1244">
        <w:rPr>
          <w:rFonts w:ascii="Times New Roman" w:hAnsi="Times New Roman" w:cs="Times New Roman"/>
          <w:sz w:val="20"/>
          <w:szCs w:val="20"/>
          <w:shd w:val="clear" w:color="auto" w:fill="FFFFFF"/>
        </w:rPr>
        <w:t xml:space="preserve">3. </w:t>
      </w:r>
      <w:r w:rsidR="005D0010">
        <w:rPr>
          <w:rFonts w:ascii="Times New Roman" w:hAnsi="Times New Roman" w:cs="Times New Roman"/>
          <w:sz w:val="20"/>
          <w:szCs w:val="20"/>
          <w:shd w:val="clear" w:color="auto" w:fill="FFFFFF"/>
        </w:rPr>
        <w:t>National Centre for Atmospheric Science, University of Reading, Reading, UK</w:t>
      </w:r>
    </w:p>
    <w:p w14:paraId="10C98627" w14:textId="09B4A032" w:rsidR="00462570" w:rsidRDefault="005D0010" w:rsidP="00462570">
      <w:pPr>
        <w:spacing w:after="100" w:afterAutospacing="1" w:line="240" w:lineRule="auto"/>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 xml:space="preserve">4. </w:t>
      </w:r>
      <w:r w:rsidR="00462570" w:rsidRPr="00EF1244">
        <w:rPr>
          <w:rFonts w:ascii="Times New Roman" w:hAnsi="Times New Roman" w:cs="Times New Roman"/>
          <w:sz w:val="20"/>
          <w:szCs w:val="20"/>
          <w:shd w:val="clear" w:color="auto" w:fill="FFFFFF"/>
        </w:rPr>
        <w:t>Department of Meteorology, University of Reading, Reading, UK</w:t>
      </w:r>
    </w:p>
    <w:p w14:paraId="10C98628" w14:textId="77777777" w:rsidR="00462570" w:rsidRDefault="00462570" w:rsidP="00E549CC">
      <w:pPr>
        <w:rPr>
          <w:rFonts w:ascii="Times New Roman" w:hAnsi="Times New Roman" w:cs="Times New Roman"/>
          <w:b/>
          <w:color w:val="000000" w:themeColor="text1"/>
          <w:lang w:val="en-US"/>
        </w:rPr>
      </w:pPr>
    </w:p>
    <w:p w14:paraId="10C98629" w14:textId="77777777" w:rsidR="00E549CC" w:rsidRDefault="00E549CC" w:rsidP="00E549CC">
      <w:pPr>
        <w:rPr>
          <w:rFonts w:ascii="Times New Roman" w:hAnsi="Times New Roman" w:cs="Times New Roman"/>
          <w:b/>
          <w:color w:val="000000" w:themeColor="text1"/>
          <w:lang w:val="en-US"/>
        </w:rPr>
      </w:pPr>
      <w:r w:rsidRPr="000227D9">
        <w:rPr>
          <w:rFonts w:ascii="Times New Roman" w:hAnsi="Times New Roman" w:cs="Times New Roman"/>
          <w:b/>
          <w:color w:val="000000" w:themeColor="text1"/>
          <w:lang w:val="en-US"/>
        </w:rPr>
        <w:t>Supplemental Information</w:t>
      </w:r>
    </w:p>
    <w:p w14:paraId="10C9862A" w14:textId="77777777" w:rsidR="00E549CC" w:rsidRDefault="008904B7" w:rsidP="00E549CC">
      <w:pPr>
        <w:rPr>
          <w:rFonts w:ascii="Times New Roman" w:hAnsi="Times New Roman" w:cs="Times New Roman"/>
          <w:b/>
          <w:color w:val="000000" w:themeColor="text1"/>
          <w:lang w:val="en-US"/>
        </w:rPr>
      </w:pPr>
      <w:r>
        <w:rPr>
          <w:rFonts w:ascii="Times New Roman" w:hAnsi="Times New Roman" w:cs="Times New Roman"/>
          <w:b/>
          <w:color w:val="000000" w:themeColor="text1"/>
          <w:lang w:val="en-US"/>
        </w:rPr>
        <w:t>Methodology:</w:t>
      </w:r>
    </w:p>
    <w:p w14:paraId="10C9862B" w14:textId="77777777" w:rsidR="008904B7" w:rsidRDefault="008904B7" w:rsidP="00E549CC">
      <w:pPr>
        <w:rPr>
          <w:rFonts w:ascii="Times New Roman" w:hAnsi="Times New Roman" w:cs="Times New Roman"/>
          <w:b/>
          <w:color w:val="000000" w:themeColor="text1"/>
          <w:lang w:val="en-US"/>
        </w:rPr>
      </w:pPr>
      <w:r>
        <w:rPr>
          <w:rFonts w:ascii="Times New Roman" w:hAnsi="Times New Roman" w:cs="Times New Roman"/>
          <w:b/>
          <w:color w:val="000000" w:themeColor="text1"/>
          <w:lang w:val="en-US"/>
        </w:rPr>
        <w:t>LinHo &amp; Wang (2002) method:</w:t>
      </w:r>
    </w:p>
    <w:p w14:paraId="10C9862C" w14:textId="77777777" w:rsidR="008904B7" w:rsidRPr="008904B7" w:rsidRDefault="008904B7" w:rsidP="00E549CC">
      <w:pPr>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The methodology </w:t>
      </w:r>
      <w:r w:rsidRPr="008904B7">
        <w:rPr>
          <w:rFonts w:ascii="Times New Roman" w:hAnsi="Times New Roman" w:cs="Times New Roman"/>
          <w:color w:val="000000" w:themeColor="text1"/>
          <w:lang w:val="en-US"/>
        </w:rPr>
        <w:t xml:space="preserve">involves smoothing pentad time series with a five pentad running mean </w:t>
      </w:r>
      <w:r>
        <w:rPr>
          <w:rFonts w:ascii="Times New Roman" w:hAnsi="Times New Roman" w:cs="Times New Roman"/>
          <w:color w:val="000000" w:themeColor="text1"/>
          <w:lang w:val="en-US"/>
        </w:rPr>
        <w:t>and then r</w:t>
      </w:r>
      <w:r w:rsidRPr="008904B7">
        <w:rPr>
          <w:rFonts w:ascii="Times New Roman" w:hAnsi="Times New Roman" w:cs="Times New Roman"/>
          <w:color w:val="000000" w:themeColor="text1"/>
          <w:lang w:val="en-US"/>
        </w:rPr>
        <w:t xml:space="preserve">emoving </w:t>
      </w:r>
      <w:r>
        <w:rPr>
          <w:rFonts w:ascii="Times New Roman" w:hAnsi="Times New Roman" w:cs="Times New Roman"/>
          <w:color w:val="000000" w:themeColor="text1"/>
          <w:lang w:val="en-US"/>
        </w:rPr>
        <w:t>December to January mean (R</w:t>
      </w:r>
      <w:r w:rsidRPr="008904B7">
        <w:rPr>
          <w:rFonts w:ascii="Times New Roman" w:hAnsi="Times New Roman" w:cs="Times New Roman"/>
          <w:color w:val="000000" w:themeColor="text1"/>
          <w:vertAlign w:val="subscript"/>
          <w:lang w:val="en-US"/>
        </w:rPr>
        <w:t>mean</w:t>
      </w:r>
      <w:r>
        <w:rPr>
          <w:rFonts w:ascii="Times New Roman" w:hAnsi="Times New Roman" w:cs="Times New Roman"/>
          <w:color w:val="000000" w:themeColor="text1"/>
          <w:lang w:val="en-US"/>
        </w:rPr>
        <w:t>) rainfall to calculate</w:t>
      </w:r>
      <w:r w:rsidRPr="008904B7">
        <w:rPr>
          <w:rFonts w:ascii="Times New Roman" w:hAnsi="Times New Roman" w:cs="Times New Roman"/>
          <w:color w:val="000000" w:themeColor="text1"/>
          <w:lang w:val="en-US"/>
        </w:rPr>
        <w:t xml:space="preserve"> the relative rainfall rate</w:t>
      </w:r>
      <w:r>
        <w:rPr>
          <w:rFonts w:ascii="Times New Roman" w:hAnsi="Times New Roman" w:cs="Times New Roman"/>
          <w:color w:val="000000" w:themeColor="text1"/>
          <w:lang w:val="en-US"/>
        </w:rPr>
        <w:t xml:space="preserve">. This method </w:t>
      </w:r>
      <w:r w:rsidR="0049035F">
        <w:rPr>
          <w:rFonts w:ascii="Times New Roman" w:hAnsi="Times New Roman" w:cs="Times New Roman"/>
          <w:color w:val="000000" w:themeColor="text1"/>
          <w:lang w:val="en-US"/>
        </w:rPr>
        <w:t xml:space="preserve">(method2) </w:t>
      </w:r>
      <w:r w:rsidRPr="008904B7">
        <w:rPr>
          <w:rFonts w:ascii="Times New Roman" w:hAnsi="Times New Roman" w:cs="Times New Roman"/>
          <w:color w:val="000000" w:themeColor="text1"/>
          <w:lang w:val="en-US"/>
        </w:rPr>
        <w:t>reduce</w:t>
      </w:r>
      <w:r>
        <w:rPr>
          <w:rFonts w:ascii="Times New Roman" w:hAnsi="Times New Roman" w:cs="Times New Roman"/>
          <w:color w:val="000000" w:themeColor="text1"/>
          <w:lang w:val="en-US"/>
        </w:rPr>
        <w:t>s</w:t>
      </w:r>
      <w:r w:rsidRPr="008904B7">
        <w:rPr>
          <w:rFonts w:ascii="Times New Roman" w:hAnsi="Times New Roman" w:cs="Times New Roman"/>
          <w:color w:val="000000" w:themeColor="text1"/>
          <w:lang w:val="en-US"/>
        </w:rPr>
        <w:t xml:space="preserve"> high-frequency fluctuations while preserving climatological intraseasonal oscillation (LinHo and Wan</w:t>
      </w:r>
      <w:r>
        <w:rPr>
          <w:rFonts w:ascii="Times New Roman" w:hAnsi="Times New Roman" w:cs="Times New Roman"/>
          <w:color w:val="000000" w:themeColor="text1"/>
          <w:lang w:val="en-US"/>
        </w:rPr>
        <w:t xml:space="preserve">g 2002). For each grid, the </w:t>
      </w:r>
      <w:r w:rsidRPr="008904B7">
        <w:rPr>
          <w:rFonts w:ascii="Times New Roman" w:hAnsi="Times New Roman" w:cs="Times New Roman"/>
          <w:color w:val="000000" w:themeColor="text1"/>
          <w:lang w:val="en-US"/>
        </w:rPr>
        <w:t xml:space="preserve">monsoon is identified when the relative rainfall rate </w:t>
      </w:r>
      <w:r>
        <w:rPr>
          <w:rFonts w:ascii="Times New Roman" w:hAnsi="Times New Roman" w:cs="Times New Roman"/>
          <w:color w:val="000000" w:themeColor="text1"/>
          <w:lang w:val="en-US"/>
        </w:rPr>
        <w:t>exceed</w:t>
      </w:r>
      <w:r w:rsidRPr="008904B7">
        <w:rPr>
          <w:rFonts w:ascii="Times New Roman" w:hAnsi="Times New Roman" w:cs="Times New Roman"/>
          <w:color w:val="000000" w:themeColor="text1"/>
          <w:lang w:val="en-US"/>
        </w:rPr>
        <w:t xml:space="preserve"> Rmean from May to September. The onset is the first pentad meeting this threshold, peak and monsoon withdrawal is when the rate falls below</w:t>
      </w:r>
      <w:r>
        <w:rPr>
          <w:rFonts w:ascii="Times New Roman" w:hAnsi="Times New Roman" w:cs="Times New Roman"/>
          <w:color w:val="000000" w:themeColor="text1"/>
          <w:lang w:val="en-US"/>
        </w:rPr>
        <w:t xml:space="preserve"> R</w:t>
      </w:r>
      <w:r w:rsidRPr="008904B7">
        <w:rPr>
          <w:rFonts w:ascii="Times New Roman" w:hAnsi="Times New Roman" w:cs="Times New Roman"/>
          <w:color w:val="000000" w:themeColor="text1"/>
          <w:vertAlign w:val="subscript"/>
          <w:lang w:val="en-US"/>
        </w:rPr>
        <w:t>mean</w:t>
      </w:r>
      <w:r w:rsidRPr="008904B7">
        <w:rPr>
          <w:rFonts w:ascii="Times New Roman" w:hAnsi="Times New Roman" w:cs="Times New Roman"/>
          <w:color w:val="000000" w:themeColor="text1"/>
          <w:lang w:val="en-US"/>
        </w:rPr>
        <w:t>. Monsoon duration is calculated as: (decay pentad) minus (onset pentad)</w:t>
      </w:r>
      <w:r>
        <w:rPr>
          <w:rFonts w:ascii="Times New Roman" w:hAnsi="Times New Roman" w:cs="Times New Roman"/>
          <w:color w:val="000000" w:themeColor="text1"/>
          <w:lang w:val="en-US"/>
        </w:rPr>
        <w:t xml:space="preserve"> (Fig</w:t>
      </w:r>
      <w:r w:rsidRPr="008904B7">
        <w:rPr>
          <w:rFonts w:ascii="Times New Roman" w:hAnsi="Times New Roman" w:cs="Times New Roman"/>
          <w:color w:val="000000" w:themeColor="text1"/>
          <w:lang w:val="en-US"/>
        </w:rPr>
        <w:t>.</w:t>
      </w:r>
      <w:r>
        <w:rPr>
          <w:rFonts w:ascii="Times New Roman" w:hAnsi="Times New Roman" w:cs="Times New Roman"/>
          <w:color w:val="000000" w:themeColor="text1"/>
          <w:lang w:val="en-US"/>
        </w:rPr>
        <w:t xml:space="preserve"> S2b).</w:t>
      </w:r>
    </w:p>
    <w:p w14:paraId="10C9862D" w14:textId="77777777" w:rsidR="008904B7" w:rsidRDefault="008904B7" w:rsidP="00E549CC">
      <w:pPr>
        <w:rPr>
          <w:rFonts w:ascii="Times New Roman" w:hAnsi="Times New Roman" w:cs="Times New Roman"/>
          <w:b/>
          <w:color w:val="000000" w:themeColor="text1"/>
          <w:lang w:val="en-US"/>
        </w:rPr>
      </w:pPr>
    </w:p>
    <w:p w14:paraId="10C9862E" w14:textId="77777777" w:rsidR="00E549CC" w:rsidRPr="000227D9" w:rsidRDefault="00E549CC" w:rsidP="00E549CC">
      <w:pPr>
        <w:rPr>
          <w:rFonts w:ascii="Times New Roman" w:hAnsi="Times New Roman" w:cs="Times New Roman"/>
          <w:b/>
          <w:color w:val="000000" w:themeColor="text1"/>
          <w:lang w:val="en-US"/>
        </w:rPr>
      </w:pPr>
      <w:r>
        <w:rPr>
          <w:rFonts w:ascii="Times New Roman" w:hAnsi="Times New Roman" w:cs="Times New Roman"/>
          <w:b/>
          <w:noProof/>
          <w:color w:val="000000" w:themeColor="text1"/>
          <w:lang w:eastAsia="en-GB"/>
        </w:rPr>
        <w:drawing>
          <wp:inline distT="0" distB="0" distL="0" distR="0" wp14:anchorId="10C9866E" wp14:editId="10C9866F">
            <wp:extent cx="5731510" cy="215392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ethod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2153920"/>
                    </a:xfrm>
                    <a:prstGeom prst="rect">
                      <a:avLst/>
                    </a:prstGeom>
                  </pic:spPr>
                </pic:pic>
              </a:graphicData>
            </a:graphic>
          </wp:inline>
        </w:drawing>
      </w:r>
    </w:p>
    <w:p w14:paraId="10C9862F" w14:textId="3776BE46" w:rsidR="00E549CC" w:rsidRDefault="003920CC" w:rsidP="00E549CC">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Figure S1</w:t>
      </w:r>
      <w:r w:rsidR="00E549CC" w:rsidRPr="00E549CC">
        <w:rPr>
          <w:rFonts w:ascii="Times New Roman" w:hAnsi="Times New Roman" w:cs="Times New Roman"/>
          <w:color w:val="000000" w:themeColor="text1"/>
          <w:shd w:val="clear" w:color="auto" w:fill="FFFFFF"/>
        </w:rPr>
        <w:t xml:space="preserve"> (a): </w:t>
      </w:r>
      <w:r w:rsidR="00674711">
        <w:rPr>
          <w:rFonts w:ascii="Times New Roman" w:hAnsi="Times New Roman" w:cs="Times New Roman"/>
          <w:color w:val="000000" w:themeColor="text1"/>
          <w:shd w:val="clear" w:color="auto" w:fill="FFFFFF"/>
        </w:rPr>
        <w:t>Taken</w:t>
      </w:r>
      <w:r w:rsidR="00E549CC" w:rsidRPr="00E549CC">
        <w:rPr>
          <w:rFonts w:ascii="Times New Roman" w:hAnsi="Times New Roman" w:cs="Times New Roman"/>
          <w:color w:val="000000" w:themeColor="text1"/>
          <w:shd w:val="clear" w:color="auto" w:fill="FFFFFF"/>
        </w:rPr>
        <w:t xml:space="preserve"> from Dunning et al. (2016). Depiction of daily mean rainfall (red), daily mean rainfall anomaly (blue), and cumulative daily mean rainfall anomaly (green). Magenta dots indic</w:t>
      </w:r>
      <w:r w:rsidR="00E549CC">
        <w:rPr>
          <w:rFonts w:ascii="Times New Roman" w:hAnsi="Times New Roman" w:cs="Times New Roman"/>
          <w:color w:val="000000" w:themeColor="text1"/>
          <w:shd w:val="clear" w:color="auto" w:fill="FFFFFF"/>
        </w:rPr>
        <w:t>ate the monsoon season duration, and</w:t>
      </w:r>
      <w:r w:rsidR="00E549CC" w:rsidRPr="00E549CC">
        <w:rPr>
          <w:rFonts w:ascii="Times New Roman" w:hAnsi="Times New Roman" w:cs="Times New Roman"/>
          <w:color w:val="000000" w:themeColor="text1"/>
          <w:shd w:val="clear" w:color="auto" w:fill="FFFFFF"/>
        </w:rPr>
        <w:t xml:space="preserve"> (b): </w:t>
      </w:r>
      <w:r w:rsidR="00674711">
        <w:rPr>
          <w:rFonts w:ascii="Times New Roman" w:hAnsi="Times New Roman" w:cs="Times New Roman"/>
          <w:color w:val="000000" w:themeColor="text1"/>
          <w:shd w:val="clear" w:color="auto" w:fill="FFFFFF"/>
        </w:rPr>
        <w:t>Taken</w:t>
      </w:r>
      <w:r w:rsidR="00E549CC" w:rsidRPr="00E549CC">
        <w:rPr>
          <w:rFonts w:ascii="Times New Roman" w:hAnsi="Times New Roman" w:cs="Times New Roman"/>
          <w:color w:val="000000" w:themeColor="text1"/>
          <w:shd w:val="clear" w:color="auto" w:fill="FFFFFF"/>
        </w:rPr>
        <w:t xml:space="preserve"> from </w:t>
      </w:r>
      <w:bookmarkStart w:id="0" w:name="_GoBack"/>
      <w:bookmarkEnd w:id="0"/>
      <w:r w:rsidR="00E549CC" w:rsidRPr="00E549CC">
        <w:rPr>
          <w:rFonts w:ascii="Times New Roman" w:hAnsi="Times New Roman" w:cs="Times New Roman"/>
          <w:color w:val="000000" w:themeColor="text1"/>
          <w:shd w:val="clear" w:color="auto" w:fill="FFFFFF"/>
        </w:rPr>
        <w:t>Sperber et al. (2013). Illustration of relative rainfall rate using pentads. The black line represents smoothed pentad rainfall, with the red line indicating the mean December to January rainfall used as a threshold for calculating relative rainfall rate.</w:t>
      </w:r>
    </w:p>
    <w:p w14:paraId="10C98630" w14:textId="77777777" w:rsidR="0049035F" w:rsidRDefault="0049035F" w:rsidP="00E549CC">
      <w:pPr>
        <w:rPr>
          <w:rFonts w:ascii="Times New Roman" w:hAnsi="Times New Roman" w:cs="Times New Roman"/>
          <w:color w:val="000000" w:themeColor="text1"/>
          <w:shd w:val="clear" w:color="auto" w:fill="FFFFFF"/>
        </w:rPr>
      </w:pPr>
    </w:p>
    <w:p w14:paraId="10C98631" w14:textId="77777777" w:rsidR="00E549CC" w:rsidRDefault="00E549CC" w:rsidP="00E549CC">
      <w:pPr>
        <w:rPr>
          <w:rFonts w:ascii="Times New Roman" w:hAnsi="Times New Roman" w:cs="Times New Roman"/>
          <w:color w:val="000000" w:themeColor="text1"/>
          <w:shd w:val="clear" w:color="auto" w:fill="FFFFFF"/>
        </w:rPr>
      </w:pPr>
    </w:p>
    <w:p w14:paraId="10C98632" w14:textId="77777777" w:rsidR="00E549CC" w:rsidRDefault="004E7F71" w:rsidP="00E549CC">
      <w:pPr>
        <w:rPr>
          <w:rFonts w:ascii="Times New Roman" w:hAnsi="Times New Roman" w:cs="Times New Roman"/>
          <w:bCs/>
          <w:color w:val="000000" w:themeColor="text1"/>
        </w:rPr>
      </w:pPr>
      <w:r>
        <w:rPr>
          <w:rFonts w:ascii="Times New Roman" w:hAnsi="Times New Roman" w:cs="Times New Roman"/>
          <w:bCs/>
          <w:noProof/>
          <w:color w:val="000000" w:themeColor="text1"/>
          <w:lang w:eastAsia="en-GB"/>
        </w:rPr>
        <w:lastRenderedPageBreak/>
        <w:drawing>
          <wp:inline distT="0" distB="0" distL="0" distR="0" wp14:anchorId="10C98670" wp14:editId="10C98671">
            <wp:extent cx="5731510" cy="33356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nsson_timing_method2.g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335655"/>
                    </a:xfrm>
                    <a:prstGeom prst="rect">
                      <a:avLst/>
                    </a:prstGeom>
                  </pic:spPr>
                </pic:pic>
              </a:graphicData>
            </a:graphic>
          </wp:inline>
        </w:drawing>
      </w:r>
    </w:p>
    <w:p w14:paraId="10C98633" w14:textId="77777777" w:rsidR="003920CC" w:rsidRPr="005B284B" w:rsidRDefault="003920CC" w:rsidP="00E549CC">
      <w:pPr>
        <w:rPr>
          <w:rFonts w:ascii="Times New Roman" w:hAnsi="Times New Roman" w:cs="Times New Roman"/>
          <w:bCs/>
          <w:color w:val="000000" w:themeColor="text1"/>
        </w:rPr>
      </w:pPr>
      <w:r>
        <w:rPr>
          <w:rFonts w:ascii="Times New Roman" w:hAnsi="Times New Roman" w:cs="Times New Roman"/>
          <w:bCs/>
          <w:color w:val="000000" w:themeColor="text1"/>
        </w:rPr>
        <w:t>Figure S2</w:t>
      </w:r>
      <w:r w:rsidR="00E549CC">
        <w:rPr>
          <w:rFonts w:ascii="Times New Roman" w:hAnsi="Times New Roman" w:cs="Times New Roman"/>
          <w:bCs/>
          <w:color w:val="000000" w:themeColor="text1"/>
        </w:rPr>
        <w:t xml:space="preserve">. Timing of the monsoon for the (a-c) CMCC-CM2-VHR4 model, (d-f) HadGEM3-GC31-HH model and (g-i) HadGEM3-GC31-HM model using the </w:t>
      </w:r>
      <w:r w:rsidR="00E549CC" w:rsidRPr="000227D9">
        <w:rPr>
          <w:rFonts w:ascii="Times New Roman" w:hAnsi="Times New Roman" w:cs="Times New Roman"/>
          <w:color w:val="000000" w:themeColor="text1"/>
          <w:lang w:val="en-US"/>
        </w:rPr>
        <w:t>Liebmann et al. (2012) method</w:t>
      </w:r>
      <w:r w:rsidR="00E549CC">
        <w:rPr>
          <w:rFonts w:ascii="Times New Roman" w:hAnsi="Times New Roman" w:cs="Times New Roman"/>
          <w:color w:val="000000" w:themeColor="text1"/>
          <w:lang w:val="en-US"/>
        </w:rPr>
        <w:t xml:space="preserve"> (blue; method1) and LinHo and Wang (2002) method (orange; method2) </w:t>
      </w:r>
      <w:r w:rsidR="00E549CC">
        <w:rPr>
          <w:rFonts w:ascii="Times New Roman" w:hAnsi="Times New Roman" w:cs="Times New Roman"/>
          <w:bCs/>
          <w:color w:val="000000" w:themeColor="text1"/>
        </w:rPr>
        <w:t>respectively during the period 1950-2020. The solid lines are the areal average over the study region while the dashed lines are the linear trend.</w:t>
      </w:r>
    </w:p>
    <w:p w14:paraId="10C98634" w14:textId="77777777" w:rsidR="00AD5812" w:rsidRDefault="00AD5812" w:rsidP="00E549CC">
      <w:pPr>
        <w:rPr>
          <w:rFonts w:ascii="Times New Roman" w:hAnsi="Times New Roman" w:cs="Times New Roman"/>
          <w:color w:val="000000" w:themeColor="text1"/>
          <w:shd w:val="clear" w:color="auto" w:fill="FFFFFF"/>
        </w:rPr>
      </w:pPr>
    </w:p>
    <w:p w14:paraId="10C98635" w14:textId="77777777" w:rsidR="009C0999" w:rsidRPr="00AD5812" w:rsidRDefault="009C0999" w:rsidP="00E549CC">
      <w:pPr>
        <w:rPr>
          <w:rFonts w:ascii="Times New Roman" w:hAnsi="Times New Roman" w:cs="Times New Roman"/>
          <w:color w:val="000000" w:themeColor="text1"/>
          <w:shd w:val="clear" w:color="auto" w:fill="FFFFFF"/>
        </w:rPr>
      </w:pPr>
    </w:p>
    <w:p w14:paraId="10C98636" w14:textId="17275512" w:rsidR="00E549CC" w:rsidRPr="000227D9" w:rsidRDefault="00E549CC" w:rsidP="00E549CC">
      <w:pPr>
        <w:rPr>
          <w:rFonts w:ascii="Times New Roman" w:hAnsi="Times New Roman" w:cs="Times New Roman"/>
          <w:color w:val="000000" w:themeColor="text1"/>
        </w:rPr>
      </w:pPr>
      <w:r w:rsidRPr="000227D9">
        <w:rPr>
          <w:rFonts w:ascii="Times New Roman" w:hAnsi="Times New Roman" w:cs="Times New Roman"/>
          <w:b/>
          <w:color w:val="000000" w:themeColor="text1"/>
          <w:lang w:val="en-US"/>
        </w:rPr>
        <w:t xml:space="preserve">Table S1. </w:t>
      </w:r>
      <w:r w:rsidRPr="000227D9">
        <w:rPr>
          <w:rFonts w:ascii="Times New Roman" w:hAnsi="Times New Roman" w:cs="Times New Roman"/>
          <w:color w:val="000000" w:themeColor="text1"/>
        </w:rPr>
        <w:t>Details of nine climate/</w:t>
      </w:r>
      <w:r w:rsidR="0091059D">
        <w:rPr>
          <w:rFonts w:ascii="Times New Roman" w:hAnsi="Times New Roman" w:cs="Times New Roman"/>
          <w:color w:val="000000" w:themeColor="text1"/>
        </w:rPr>
        <w:t>E</w:t>
      </w:r>
      <w:r w:rsidRPr="000227D9">
        <w:rPr>
          <w:rFonts w:ascii="Times New Roman" w:hAnsi="Times New Roman" w:cs="Times New Roman"/>
          <w:color w:val="000000" w:themeColor="text1"/>
        </w:rPr>
        <w:t xml:space="preserve">arth system models </w:t>
      </w:r>
      <w:r w:rsidR="00651925">
        <w:rPr>
          <w:rFonts w:ascii="Times New Roman" w:hAnsi="Times New Roman" w:cs="Times New Roman"/>
          <w:color w:val="000000" w:themeColor="text1"/>
        </w:rPr>
        <w:t>from</w:t>
      </w:r>
      <w:r w:rsidRPr="000227D9">
        <w:rPr>
          <w:rFonts w:ascii="Times New Roman" w:hAnsi="Times New Roman" w:cs="Times New Roman"/>
          <w:color w:val="000000" w:themeColor="text1"/>
        </w:rPr>
        <w:t xml:space="preserve"> CMIP6 HighResMIP used in the study.</w:t>
      </w:r>
    </w:p>
    <w:tbl>
      <w:tblPr>
        <w:tblW w:w="10320" w:type="dxa"/>
        <w:tblLook w:val="04A0" w:firstRow="1" w:lastRow="0" w:firstColumn="1" w:lastColumn="0" w:noHBand="0" w:noVBand="1"/>
      </w:tblPr>
      <w:tblGrid>
        <w:gridCol w:w="960"/>
        <w:gridCol w:w="3400"/>
        <w:gridCol w:w="2760"/>
        <w:gridCol w:w="3200"/>
      </w:tblGrid>
      <w:tr w:rsidR="00E549CC" w:rsidRPr="000227D9" w14:paraId="10C9863B" w14:textId="77777777" w:rsidTr="00C7675C">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C98637" w14:textId="77777777" w:rsidR="00E549CC" w:rsidRPr="00D73CFF" w:rsidRDefault="00E549CC" w:rsidP="00C7675C">
            <w:pPr>
              <w:spacing w:after="0" w:line="240" w:lineRule="auto"/>
              <w:jc w:val="center"/>
              <w:rPr>
                <w:rFonts w:ascii="Times New Roman" w:eastAsia="Times New Roman" w:hAnsi="Times New Roman" w:cs="Times New Roman"/>
                <w:b/>
                <w:bCs/>
                <w:color w:val="000000" w:themeColor="text1"/>
                <w:lang w:eastAsia="en-GB"/>
              </w:rPr>
            </w:pPr>
            <w:r w:rsidRPr="00D73CFF">
              <w:rPr>
                <w:rFonts w:ascii="Times New Roman" w:eastAsia="Times New Roman" w:hAnsi="Times New Roman" w:cs="Times New Roman"/>
                <w:b/>
                <w:bCs/>
                <w:color w:val="000000" w:themeColor="text1"/>
                <w:lang w:eastAsia="en-GB"/>
              </w:rPr>
              <w:t>S.No.</w:t>
            </w:r>
          </w:p>
        </w:tc>
        <w:tc>
          <w:tcPr>
            <w:tcW w:w="3400" w:type="dxa"/>
            <w:tcBorders>
              <w:top w:val="single" w:sz="4" w:space="0" w:color="auto"/>
              <w:left w:val="nil"/>
              <w:bottom w:val="single" w:sz="4" w:space="0" w:color="auto"/>
              <w:right w:val="single" w:sz="4" w:space="0" w:color="auto"/>
            </w:tcBorders>
            <w:shd w:val="clear" w:color="auto" w:fill="auto"/>
            <w:noWrap/>
            <w:vAlign w:val="bottom"/>
            <w:hideMark/>
          </w:tcPr>
          <w:p w14:paraId="10C98638" w14:textId="77777777" w:rsidR="00E549CC" w:rsidRPr="00D73CFF" w:rsidRDefault="00E549CC" w:rsidP="00C7675C">
            <w:pPr>
              <w:spacing w:after="0" w:line="240" w:lineRule="auto"/>
              <w:jc w:val="center"/>
              <w:rPr>
                <w:rFonts w:ascii="Times New Roman" w:eastAsia="Times New Roman" w:hAnsi="Times New Roman" w:cs="Times New Roman"/>
                <w:b/>
                <w:bCs/>
                <w:color w:val="000000" w:themeColor="text1"/>
                <w:lang w:eastAsia="en-GB"/>
              </w:rPr>
            </w:pPr>
            <w:r w:rsidRPr="00D73CFF">
              <w:rPr>
                <w:rFonts w:ascii="Times New Roman" w:eastAsia="Times New Roman" w:hAnsi="Times New Roman" w:cs="Times New Roman"/>
                <w:b/>
                <w:bCs/>
                <w:color w:val="000000" w:themeColor="text1"/>
                <w:lang w:eastAsia="en-GB"/>
              </w:rPr>
              <w:t>Model</w:t>
            </w:r>
          </w:p>
        </w:tc>
        <w:tc>
          <w:tcPr>
            <w:tcW w:w="2760" w:type="dxa"/>
            <w:tcBorders>
              <w:top w:val="single" w:sz="4" w:space="0" w:color="auto"/>
              <w:left w:val="nil"/>
              <w:bottom w:val="single" w:sz="4" w:space="0" w:color="auto"/>
              <w:right w:val="single" w:sz="4" w:space="0" w:color="auto"/>
            </w:tcBorders>
            <w:shd w:val="clear" w:color="auto" w:fill="auto"/>
            <w:noWrap/>
            <w:vAlign w:val="bottom"/>
            <w:hideMark/>
          </w:tcPr>
          <w:p w14:paraId="10C98639" w14:textId="77777777" w:rsidR="00E549CC" w:rsidRPr="00D73CFF" w:rsidRDefault="00E549CC" w:rsidP="00C7675C">
            <w:pPr>
              <w:spacing w:after="0" w:line="240" w:lineRule="auto"/>
              <w:jc w:val="center"/>
              <w:rPr>
                <w:rFonts w:ascii="Times New Roman" w:eastAsia="Times New Roman" w:hAnsi="Times New Roman" w:cs="Times New Roman"/>
                <w:b/>
                <w:bCs/>
                <w:color w:val="000000" w:themeColor="text1"/>
                <w:lang w:eastAsia="en-GB"/>
              </w:rPr>
            </w:pPr>
            <w:r w:rsidRPr="00D73CFF">
              <w:rPr>
                <w:rFonts w:ascii="Times New Roman" w:eastAsia="Times New Roman" w:hAnsi="Times New Roman" w:cs="Times New Roman"/>
                <w:b/>
                <w:bCs/>
                <w:color w:val="000000" w:themeColor="text1"/>
                <w:lang w:eastAsia="en-GB"/>
              </w:rPr>
              <w:t>Modelling group</w:t>
            </w:r>
          </w:p>
        </w:tc>
        <w:tc>
          <w:tcPr>
            <w:tcW w:w="3200" w:type="dxa"/>
            <w:tcBorders>
              <w:top w:val="single" w:sz="4" w:space="0" w:color="auto"/>
              <w:left w:val="nil"/>
              <w:bottom w:val="single" w:sz="4" w:space="0" w:color="auto"/>
              <w:right w:val="single" w:sz="4" w:space="0" w:color="auto"/>
            </w:tcBorders>
            <w:shd w:val="clear" w:color="auto" w:fill="auto"/>
            <w:noWrap/>
            <w:vAlign w:val="bottom"/>
            <w:hideMark/>
          </w:tcPr>
          <w:p w14:paraId="10C9863A" w14:textId="77777777" w:rsidR="00E549CC" w:rsidRPr="00D73CFF" w:rsidRDefault="00E549CC" w:rsidP="00C7675C">
            <w:pPr>
              <w:spacing w:after="0" w:line="240" w:lineRule="auto"/>
              <w:jc w:val="center"/>
              <w:rPr>
                <w:rFonts w:ascii="Times New Roman" w:eastAsia="Times New Roman" w:hAnsi="Times New Roman" w:cs="Times New Roman"/>
                <w:b/>
                <w:bCs/>
                <w:color w:val="000000" w:themeColor="text1"/>
                <w:lang w:eastAsia="en-GB"/>
              </w:rPr>
            </w:pPr>
            <w:r w:rsidRPr="00D73CFF">
              <w:rPr>
                <w:rFonts w:ascii="Times New Roman" w:eastAsia="Times New Roman" w:hAnsi="Times New Roman" w:cs="Times New Roman"/>
                <w:b/>
                <w:bCs/>
                <w:color w:val="000000" w:themeColor="text1"/>
                <w:lang w:eastAsia="en-GB"/>
              </w:rPr>
              <w:t>Resolution (latitude x longitude)</w:t>
            </w:r>
          </w:p>
        </w:tc>
      </w:tr>
      <w:tr w:rsidR="00E549CC" w:rsidRPr="000227D9" w14:paraId="10C98640" w14:textId="77777777" w:rsidTr="00C7675C">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9863C"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1</w:t>
            </w:r>
          </w:p>
        </w:tc>
        <w:tc>
          <w:tcPr>
            <w:tcW w:w="3400" w:type="dxa"/>
            <w:tcBorders>
              <w:top w:val="nil"/>
              <w:left w:val="nil"/>
              <w:bottom w:val="single" w:sz="4" w:space="0" w:color="auto"/>
              <w:right w:val="single" w:sz="4" w:space="0" w:color="auto"/>
            </w:tcBorders>
            <w:shd w:val="clear" w:color="000000" w:fill="FFFFFF"/>
            <w:vAlign w:val="center"/>
            <w:hideMark/>
          </w:tcPr>
          <w:p w14:paraId="10C9863D"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CMCC-CM2-VHR4</w:t>
            </w:r>
          </w:p>
        </w:tc>
        <w:tc>
          <w:tcPr>
            <w:tcW w:w="2760" w:type="dxa"/>
            <w:tcBorders>
              <w:top w:val="nil"/>
              <w:left w:val="nil"/>
              <w:bottom w:val="single" w:sz="4" w:space="0" w:color="auto"/>
              <w:right w:val="single" w:sz="4" w:space="0" w:color="auto"/>
            </w:tcBorders>
            <w:shd w:val="clear" w:color="auto" w:fill="auto"/>
            <w:noWrap/>
            <w:vAlign w:val="bottom"/>
            <w:hideMark/>
          </w:tcPr>
          <w:p w14:paraId="10C9863E"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CMCC, Italy</w:t>
            </w:r>
          </w:p>
        </w:tc>
        <w:tc>
          <w:tcPr>
            <w:tcW w:w="3200" w:type="dxa"/>
            <w:tcBorders>
              <w:top w:val="nil"/>
              <w:left w:val="nil"/>
              <w:bottom w:val="single" w:sz="4" w:space="0" w:color="auto"/>
              <w:right w:val="single" w:sz="4" w:space="0" w:color="auto"/>
            </w:tcBorders>
            <w:shd w:val="clear" w:color="auto" w:fill="auto"/>
            <w:noWrap/>
            <w:vAlign w:val="bottom"/>
            <w:hideMark/>
          </w:tcPr>
          <w:p w14:paraId="10C9863F"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0.23° × 0.31°</w:t>
            </w:r>
          </w:p>
        </w:tc>
      </w:tr>
      <w:tr w:rsidR="00E549CC" w:rsidRPr="000227D9" w14:paraId="10C98645" w14:textId="77777777" w:rsidTr="00C7675C">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98641"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2</w:t>
            </w:r>
          </w:p>
        </w:tc>
        <w:tc>
          <w:tcPr>
            <w:tcW w:w="3400" w:type="dxa"/>
            <w:tcBorders>
              <w:top w:val="nil"/>
              <w:left w:val="nil"/>
              <w:bottom w:val="single" w:sz="4" w:space="0" w:color="auto"/>
              <w:right w:val="single" w:sz="4" w:space="0" w:color="auto"/>
            </w:tcBorders>
            <w:shd w:val="clear" w:color="000000" w:fill="FFFFFF"/>
            <w:vAlign w:val="center"/>
            <w:hideMark/>
          </w:tcPr>
          <w:p w14:paraId="10C98642"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HadGEM3-GC31-HM</w:t>
            </w:r>
          </w:p>
        </w:tc>
        <w:tc>
          <w:tcPr>
            <w:tcW w:w="2760" w:type="dxa"/>
            <w:tcBorders>
              <w:top w:val="nil"/>
              <w:left w:val="nil"/>
              <w:bottom w:val="single" w:sz="4" w:space="0" w:color="auto"/>
              <w:right w:val="single" w:sz="4" w:space="0" w:color="auto"/>
            </w:tcBorders>
            <w:shd w:val="clear" w:color="auto" w:fill="auto"/>
            <w:noWrap/>
            <w:vAlign w:val="bottom"/>
            <w:hideMark/>
          </w:tcPr>
          <w:p w14:paraId="10C98643"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0227D9">
              <w:rPr>
                <w:rFonts w:ascii="Times New Roman" w:eastAsia="Times New Roman" w:hAnsi="Times New Roman" w:cs="Times New Roman"/>
                <w:color w:val="000000" w:themeColor="text1"/>
                <w:lang w:eastAsia="en-GB"/>
              </w:rPr>
              <w:t>NERC &amp; MOHC, UK</w:t>
            </w:r>
          </w:p>
        </w:tc>
        <w:tc>
          <w:tcPr>
            <w:tcW w:w="3200" w:type="dxa"/>
            <w:tcBorders>
              <w:top w:val="nil"/>
              <w:left w:val="nil"/>
              <w:bottom w:val="single" w:sz="4" w:space="0" w:color="auto"/>
              <w:right w:val="single" w:sz="4" w:space="0" w:color="auto"/>
            </w:tcBorders>
            <w:shd w:val="clear" w:color="auto" w:fill="auto"/>
            <w:noWrap/>
            <w:vAlign w:val="bottom"/>
            <w:hideMark/>
          </w:tcPr>
          <w:p w14:paraId="10C98644"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0.23° x 0.35° </w:t>
            </w:r>
          </w:p>
        </w:tc>
      </w:tr>
      <w:tr w:rsidR="00E549CC" w:rsidRPr="000227D9" w14:paraId="10C9864A" w14:textId="77777777" w:rsidTr="00C7675C">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98646"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3</w:t>
            </w:r>
          </w:p>
        </w:tc>
        <w:tc>
          <w:tcPr>
            <w:tcW w:w="3400" w:type="dxa"/>
            <w:tcBorders>
              <w:top w:val="nil"/>
              <w:left w:val="nil"/>
              <w:bottom w:val="single" w:sz="4" w:space="0" w:color="auto"/>
              <w:right w:val="single" w:sz="4" w:space="0" w:color="auto"/>
            </w:tcBorders>
            <w:shd w:val="clear" w:color="000000" w:fill="FFFFFF"/>
            <w:vAlign w:val="center"/>
            <w:hideMark/>
          </w:tcPr>
          <w:p w14:paraId="10C98647"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HadGEM3-GC31-HH</w:t>
            </w:r>
          </w:p>
        </w:tc>
        <w:tc>
          <w:tcPr>
            <w:tcW w:w="2760" w:type="dxa"/>
            <w:tcBorders>
              <w:top w:val="nil"/>
              <w:left w:val="nil"/>
              <w:bottom w:val="single" w:sz="4" w:space="0" w:color="auto"/>
              <w:right w:val="single" w:sz="4" w:space="0" w:color="auto"/>
            </w:tcBorders>
            <w:shd w:val="clear" w:color="auto" w:fill="auto"/>
            <w:noWrap/>
            <w:vAlign w:val="bottom"/>
            <w:hideMark/>
          </w:tcPr>
          <w:p w14:paraId="10C98648"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 xml:space="preserve">NERC &amp; </w:t>
            </w:r>
            <w:r w:rsidRPr="000227D9">
              <w:rPr>
                <w:rFonts w:ascii="Times New Roman" w:eastAsia="Times New Roman" w:hAnsi="Times New Roman" w:cs="Times New Roman"/>
                <w:color w:val="000000" w:themeColor="text1"/>
                <w:lang w:eastAsia="en-GB"/>
              </w:rPr>
              <w:t>MOHC, UK</w:t>
            </w:r>
          </w:p>
        </w:tc>
        <w:tc>
          <w:tcPr>
            <w:tcW w:w="3200" w:type="dxa"/>
            <w:tcBorders>
              <w:top w:val="nil"/>
              <w:left w:val="nil"/>
              <w:bottom w:val="single" w:sz="4" w:space="0" w:color="auto"/>
              <w:right w:val="single" w:sz="4" w:space="0" w:color="auto"/>
            </w:tcBorders>
            <w:shd w:val="clear" w:color="auto" w:fill="auto"/>
            <w:noWrap/>
            <w:vAlign w:val="bottom"/>
            <w:hideMark/>
          </w:tcPr>
          <w:p w14:paraId="10C98649"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0.24° x 0.35° </w:t>
            </w:r>
          </w:p>
        </w:tc>
      </w:tr>
      <w:tr w:rsidR="00E549CC" w:rsidRPr="000227D9" w14:paraId="10C9864F" w14:textId="77777777" w:rsidTr="00C7675C">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9864B"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4</w:t>
            </w:r>
          </w:p>
        </w:tc>
        <w:tc>
          <w:tcPr>
            <w:tcW w:w="3400" w:type="dxa"/>
            <w:tcBorders>
              <w:top w:val="nil"/>
              <w:left w:val="nil"/>
              <w:bottom w:val="single" w:sz="4" w:space="0" w:color="auto"/>
              <w:right w:val="single" w:sz="4" w:space="0" w:color="auto"/>
            </w:tcBorders>
            <w:shd w:val="clear" w:color="000000" w:fill="FFFFFF"/>
            <w:vAlign w:val="center"/>
            <w:hideMark/>
          </w:tcPr>
          <w:p w14:paraId="10C9864C"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HadGEM3-GC31-LL</w:t>
            </w:r>
          </w:p>
        </w:tc>
        <w:tc>
          <w:tcPr>
            <w:tcW w:w="2760" w:type="dxa"/>
            <w:tcBorders>
              <w:top w:val="nil"/>
              <w:left w:val="nil"/>
              <w:bottom w:val="single" w:sz="4" w:space="0" w:color="auto"/>
              <w:right w:val="single" w:sz="4" w:space="0" w:color="auto"/>
            </w:tcBorders>
            <w:shd w:val="clear" w:color="auto" w:fill="auto"/>
            <w:noWrap/>
            <w:vAlign w:val="bottom"/>
            <w:hideMark/>
          </w:tcPr>
          <w:p w14:paraId="10C9864D"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0227D9">
              <w:rPr>
                <w:rFonts w:ascii="Times New Roman" w:eastAsia="Times New Roman" w:hAnsi="Times New Roman" w:cs="Times New Roman"/>
                <w:color w:val="000000" w:themeColor="text1"/>
                <w:lang w:eastAsia="en-GB"/>
              </w:rPr>
              <w:t>NERC &amp; MOHC, UK</w:t>
            </w:r>
          </w:p>
        </w:tc>
        <w:tc>
          <w:tcPr>
            <w:tcW w:w="3200" w:type="dxa"/>
            <w:tcBorders>
              <w:top w:val="nil"/>
              <w:left w:val="nil"/>
              <w:bottom w:val="single" w:sz="4" w:space="0" w:color="auto"/>
              <w:right w:val="single" w:sz="4" w:space="0" w:color="auto"/>
            </w:tcBorders>
            <w:shd w:val="clear" w:color="auto" w:fill="auto"/>
            <w:noWrap/>
            <w:vAlign w:val="bottom"/>
            <w:hideMark/>
          </w:tcPr>
          <w:p w14:paraId="10C9864E"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1.2° × 1.2°</w:t>
            </w:r>
          </w:p>
        </w:tc>
      </w:tr>
      <w:tr w:rsidR="00E549CC" w:rsidRPr="000227D9" w14:paraId="10C98654" w14:textId="77777777" w:rsidTr="00C7675C">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98650"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5</w:t>
            </w:r>
          </w:p>
        </w:tc>
        <w:tc>
          <w:tcPr>
            <w:tcW w:w="3400" w:type="dxa"/>
            <w:tcBorders>
              <w:top w:val="nil"/>
              <w:left w:val="nil"/>
              <w:bottom w:val="single" w:sz="4" w:space="0" w:color="auto"/>
              <w:right w:val="single" w:sz="4" w:space="0" w:color="auto"/>
            </w:tcBorders>
            <w:shd w:val="clear" w:color="000000" w:fill="FFFFFF"/>
            <w:vAlign w:val="center"/>
            <w:hideMark/>
          </w:tcPr>
          <w:p w14:paraId="10C98651"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CMCC-CM2-HR4</w:t>
            </w:r>
          </w:p>
        </w:tc>
        <w:tc>
          <w:tcPr>
            <w:tcW w:w="2760" w:type="dxa"/>
            <w:tcBorders>
              <w:top w:val="nil"/>
              <w:left w:val="nil"/>
              <w:bottom w:val="single" w:sz="4" w:space="0" w:color="auto"/>
              <w:right w:val="single" w:sz="4" w:space="0" w:color="auto"/>
            </w:tcBorders>
            <w:shd w:val="clear" w:color="auto" w:fill="auto"/>
            <w:noWrap/>
            <w:vAlign w:val="bottom"/>
            <w:hideMark/>
          </w:tcPr>
          <w:p w14:paraId="10C98652"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CMCC, Italy</w:t>
            </w:r>
          </w:p>
        </w:tc>
        <w:tc>
          <w:tcPr>
            <w:tcW w:w="3200" w:type="dxa"/>
            <w:tcBorders>
              <w:top w:val="nil"/>
              <w:left w:val="nil"/>
              <w:bottom w:val="single" w:sz="4" w:space="0" w:color="auto"/>
              <w:right w:val="single" w:sz="4" w:space="0" w:color="auto"/>
            </w:tcBorders>
            <w:shd w:val="clear" w:color="auto" w:fill="auto"/>
            <w:noWrap/>
            <w:vAlign w:val="bottom"/>
            <w:hideMark/>
          </w:tcPr>
          <w:p w14:paraId="10C98653"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0.94° × 1.25°</w:t>
            </w:r>
          </w:p>
        </w:tc>
      </w:tr>
      <w:tr w:rsidR="00E549CC" w:rsidRPr="000227D9" w14:paraId="10C98659" w14:textId="77777777" w:rsidTr="00C7675C">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98655"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6</w:t>
            </w:r>
          </w:p>
        </w:tc>
        <w:tc>
          <w:tcPr>
            <w:tcW w:w="3400" w:type="dxa"/>
            <w:tcBorders>
              <w:top w:val="nil"/>
              <w:left w:val="nil"/>
              <w:bottom w:val="single" w:sz="4" w:space="0" w:color="auto"/>
              <w:right w:val="single" w:sz="4" w:space="0" w:color="auto"/>
            </w:tcBorders>
            <w:shd w:val="clear" w:color="000000" w:fill="FFFFFF"/>
            <w:vAlign w:val="center"/>
            <w:hideMark/>
          </w:tcPr>
          <w:p w14:paraId="10C98656"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MPI-ESM1-2-HR</w:t>
            </w:r>
          </w:p>
        </w:tc>
        <w:tc>
          <w:tcPr>
            <w:tcW w:w="2760" w:type="dxa"/>
            <w:tcBorders>
              <w:top w:val="nil"/>
              <w:left w:val="nil"/>
              <w:bottom w:val="single" w:sz="4" w:space="0" w:color="auto"/>
              <w:right w:val="single" w:sz="4" w:space="0" w:color="auto"/>
            </w:tcBorders>
            <w:shd w:val="clear" w:color="auto" w:fill="auto"/>
            <w:noWrap/>
            <w:vAlign w:val="bottom"/>
            <w:hideMark/>
          </w:tcPr>
          <w:p w14:paraId="10C98657"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MPI, Germany</w:t>
            </w:r>
          </w:p>
        </w:tc>
        <w:tc>
          <w:tcPr>
            <w:tcW w:w="3200" w:type="dxa"/>
            <w:tcBorders>
              <w:top w:val="nil"/>
              <w:left w:val="nil"/>
              <w:bottom w:val="single" w:sz="4" w:space="0" w:color="auto"/>
              <w:right w:val="single" w:sz="4" w:space="0" w:color="auto"/>
            </w:tcBorders>
            <w:shd w:val="clear" w:color="auto" w:fill="auto"/>
            <w:noWrap/>
            <w:vAlign w:val="bottom"/>
            <w:hideMark/>
          </w:tcPr>
          <w:p w14:paraId="10C98658"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0.93° × 0.93°</w:t>
            </w:r>
          </w:p>
        </w:tc>
      </w:tr>
      <w:tr w:rsidR="00E549CC" w:rsidRPr="000227D9" w14:paraId="10C9865E" w14:textId="77777777" w:rsidTr="00C7675C">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9865A"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7</w:t>
            </w:r>
          </w:p>
        </w:tc>
        <w:tc>
          <w:tcPr>
            <w:tcW w:w="3400" w:type="dxa"/>
            <w:tcBorders>
              <w:top w:val="nil"/>
              <w:left w:val="nil"/>
              <w:bottom w:val="single" w:sz="4" w:space="0" w:color="auto"/>
              <w:right w:val="single" w:sz="4" w:space="0" w:color="auto"/>
            </w:tcBorders>
            <w:shd w:val="clear" w:color="000000" w:fill="FFFFFF"/>
            <w:vAlign w:val="center"/>
            <w:hideMark/>
          </w:tcPr>
          <w:p w14:paraId="10C9865B"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MPI-ESM1-2-XR</w:t>
            </w:r>
          </w:p>
        </w:tc>
        <w:tc>
          <w:tcPr>
            <w:tcW w:w="2760" w:type="dxa"/>
            <w:tcBorders>
              <w:top w:val="nil"/>
              <w:left w:val="nil"/>
              <w:bottom w:val="single" w:sz="4" w:space="0" w:color="auto"/>
              <w:right w:val="single" w:sz="4" w:space="0" w:color="auto"/>
            </w:tcBorders>
            <w:shd w:val="clear" w:color="auto" w:fill="auto"/>
            <w:noWrap/>
            <w:vAlign w:val="bottom"/>
            <w:hideMark/>
          </w:tcPr>
          <w:p w14:paraId="10C9865C"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 xml:space="preserve">MPI, </w:t>
            </w:r>
            <w:r w:rsidRPr="000227D9">
              <w:rPr>
                <w:rFonts w:ascii="Times New Roman" w:eastAsia="Times New Roman" w:hAnsi="Times New Roman" w:cs="Times New Roman"/>
                <w:color w:val="000000" w:themeColor="text1"/>
                <w:lang w:eastAsia="en-GB"/>
              </w:rPr>
              <w:t>Germany</w:t>
            </w:r>
          </w:p>
        </w:tc>
        <w:tc>
          <w:tcPr>
            <w:tcW w:w="3200" w:type="dxa"/>
            <w:tcBorders>
              <w:top w:val="nil"/>
              <w:left w:val="nil"/>
              <w:bottom w:val="single" w:sz="4" w:space="0" w:color="auto"/>
              <w:right w:val="single" w:sz="4" w:space="0" w:color="auto"/>
            </w:tcBorders>
            <w:shd w:val="clear" w:color="auto" w:fill="auto"/>
            <w:noWrap/>
            <w:vAlign w:val="bottom"/>
            <w:hideMark/>
          </w:tcPr>
          <w:p w14:paraId="10C9865D"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0.46° × 0.46°</w:t>
            </w:r>
          </w:p>
        </w:tc>
      </w:tr>
      <w:tr w:rsidR="00E549CC" w:rsidRPr="000227D9" w14:paraId="10C98663" w14:textId="77777777" w:rsidTr="00C7675C">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9865F"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8</w:t>
            </w:r>
          </w:p>
        </w:tc>
        <w:tc>
          <w:tcPr>
            <w:tcW w:w="3400" w:type="dxa"/>
            <w:tcBorders>
              <w:top w:val="nil"/>
              <w:left w:val="nil"/>
              <w:bottom w:val="single" w:sz="4" w:space="0" w:color="auto"/>
              <w:right w:val="single" w:sz="4" w:space="0" w:color="auto"/>
            </w:tcBorders>
            <w:shd w:val="clear" w:color="000000" w:fill="FFFFFF"/>
            <w:vAlign w:val="center"/>
            <w:hideMark/>
          </w:tcPr>
          <w:p w14:paraId="10C98660"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EC-Earth3P-HR</w:t>
            </w:r>
          </w:p>
        </w:tc>
        <w:tc>
          <w:tcPr>
            <w:tcW w:w="2760" w:type="dxa"/>
            <w:tcBorders>
              <w:top w:val="nil"/>
              <w:left w:val="nil"/>
              <w:bottom w:val="single" w:sz="4" w:space="0" w:color="auto"/>
              <w:right w:val="single" w:sz="4" w:space="0" w:color="auto"/>
            </w:tcBorders>
            <w:shd w:val="clear" w:color="auto" w:fill="auto"/>
            <w:noWrap/>
            <w:vAlign w:val="bottom"/>
            <w:hideMark/>
          </w:tcPr>
          <w:p w14:paraId="10C98661"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EC-Earth-Consortium, Europe</w:t>
            </w:r>
          </w:p>
        </w:tc>
        <w:tc>
          <w:tcPr>
            <w:tcW w:w="3200" w:type="dxa"/>
            <w:tcBorders>
              <w:top w:val="nil"/>
              <w:left w:val="nil"/>
              <w:bottom w:val="single" w:sz="4" w:space="0" w:color="auto"/>
              <w:right w:val="single" w:sz="4" w:space="0" w:color="auto"/>
            </w:tcBorders>
            <w:shd w:val="clear" w:color="auto" w:fill="auto"/>
            <w:noWrap/>
            <w:vAlign w:val="bottom"/>
            <w:hideMark/>
          </w:tcPr>
          <w:p w14:paraId="10C98662"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0.35° × 0.35°</w:t>
            </w:r>
          </w:p>
        </w:tc>
      </w:tr>
      <w:tr w:rsidR="00E549CC" w:rsidRPr="000227D9" w14:paraId="10C98668" w14:textId="77777777" w:rsidTr="00C7675C">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98664"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9</w:t>
            </w:r>
          </w:p>
        </w:tc>
        <w:tc>
          <w:tcPr>
            <w:tcW w:w="3400" w:type="dxa"/>
            <w:tcBorders>
              <w:top w:val="nil"/>
              <w:left w:val="nil"/>
              <w:bottom w:val="single" w:sz="4" w:space="0" w:color="auto"/>
              <w:right w:val="single" w:sz="4" w:space="0" w:color="auto"/>
            </w:tcBorders>
            <w:shd w:val="clear" w:color="000000" w:fill="FFFFFF"/>
            <w:vAlign w:val="center"/>
            <w:hideMark/>
          </w:tcPr>
          <w:p w14:paraId="10C98665"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EC-Earth3P</w:t>
            </w:r>
          </w:p>
        </w:tc>
        <w:tc>
          <w:tcPr>
            <w:tcW w:w="2760" w:type="dxa"/>
            <w:tcBorders>
              <w:top w:val="nil"/>
              <w:left w:val="nil"/>
              <w:bottom w:val="single" w:sz="4" w:space="0" w:color="auto"/>
              <w:right w:val="single" w:sz="4" w:space="0" w:color="auto"/>
            </w:tcBorders>
            <w:shd w:val="clear" w:color="auto" w:fill="auto"/>
            <w:noWrap/>
            <w:vAlign w:val="bottom"/>
            <w:hideMark/>
          </w:tcPr>
          <w:p w14:paraId="10C98666"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EC-Earth-Consortium, Europe</w:t>
            </w:r>
          </w:p>
        </w:tc>
        <w:tc>
          <w:tcPr>
            <w:tcW w:w="3200" w:type="dxa"/>
            <w:tcBorders>
              <w:top w:val="nil"/>
              <w:left w:val="nil"/>
              <w:bottom w:val="single" w:sz="4" w:space="0" w:color="auto"/>
              <w:right w:val="single" w:sz="4" w:space="0" w:color="auto"/>
            </w:tcBorders>
            <w:shd w:val="clear" w:color="auto" w:fill="auto"/>
            <w:noWrap/>
            <w:vAlign w:val="bottom"/>
            <w:hideMark/>
          </w:tcPr>
          <w:p w14:paraId="10C98667" w14:textId="77777777" w:rsidR="00E549CC" w:rsidRPr="00D73CFF" w:rsidRDefault="00E549CC" w:rsidP="00C7675C">
            <w:pPr>
              <w:spacing w:after="0" w:line="240" w:lineRule="auto"/>
              <w:jc w:val="center"/>
              <w:rPr>
                <w:rFonts w:ascii="Times New Roman" w:eastAsia="Times New Roman" w:hAnsi="Times New Roman" w:cs="Times New Roman"/>
                <w:color w:val="000000" w:themeColor="text1"/>
                <w:lang w:eastAsia="en-GB"/>
              </w:rPr>
            </w:pPr>
            <w:r w:rsidRPr="00D73CFF">
              <w:rPr>
                <w:rFonts w:ascii="Times New Roman" w:eastAsia="Times New Roman" w:hAnsi="Times New Roman" w:cs="Times New Roman"/>
                <w:color w:val="000000" w:themeColor="text1"/>
                <w:lang w:eastAsia="en-GB"/>
              </w:rPr>
              <w:t>0.70° × 0.70°</w:t>
            </w:r>
          </w:p>
        </w:tc>
      </w:tr>
    </w:tbl>
    <w:p w14:paraId="10C98669" w14:textId="77777777" w:rsidR="00E549CC" w:rsidRPr="000227D9" w:rsidRDefault="00E549CC" w:rsidP="00E549CC">
      <w:pPr>
        <w:rPr>
          <w:rFonts w:ascii="Times New Roman" w:hAnsi="Times New Roman" w:cs="Times New Roman"/>
          <w:b/>
          <w:color w:val="000000" w:themeColor="text1"/>
          <w:lang w:val="en-US"/>
        </w:rPr>
      </w:pPr>
    </w:p>
    <w:p w14:paraId="10C9866A" w14:textId="77777777" w:rsidR="00E549CC" w:rsidRDefault="00E549CC" w:rsidP="00E549CC">
      <w:pPr>
        <w:rPr>
          <w:rFonts w:ascii="Times New Roman" w:hAnsi="Times New Roman" w:cs="Times New Roman"/>
          <w:b/>
          <w:color w:val="000000" w:themeColor="text1"/>
          <w:lang w:val="en-US"/>
        </w:rPr>
      </w:pPr>
      <w:r>
        <w:rPr>
          <w:rFonts w:ascii="Times New Roman" w:hAnsi="Times New Roman" w:cs="Times New Roman"/>
          <w:b/>
          <w:color w:val="000000" w:themeColor="text1"/>
          <w:lang w:val="en-US"/>
        </w:rPr>
        <w:t>References</w:t>
      </w:r>
    </w:p>
    <w:p w14:paraId="10C9866B" w14:textId="77777777" w:rsidR="00E549CC" w:rsidRPr="00D73175" w:rsidRDefault="00E549CC" w:rsidP="00E549CC">
      <w:pPr>
        <w:rPr>
          <w:rFonts w:ascii="Times New Roman" w:hAnsi="Times New Roman" w:cs="Times New Roman"/>
          <w:b/>
          <w:color w:val="000000" w:themeColor="text1"/>
          <w:lang w:val="en-US"/>
        </w:rPr>
      </w:pPr>
      <w:r w:rsidRPr="00D73175">
        <w:rPr>
          <w:rFonts w:ascii="Times New Roman" w:hAnsi="Times New Roman" w:cs="Times New Roman"/>
          <w:color w:val="222222"/>
          <w:sz w:val="20"/>
          <w:szCs w:val="20"/>
          <w:shd w:val="clear" w:color="auto" w:fill="FFFFFF"/>
        </w:rPr>
        <w:t>Dunning, C. M., Black, E. C., &amp; Allan, R. P. (2016). The onset and cessation of seasonal rainfall over Africa. </w:t>
      </w:r>
      <w:r w:rsidRPr="00D73175">
        <w:rPr>
          <w:rFonts w:ascii="Times New Roman" w:hAnsi="Times New Roman" w:cs="Times New Roman"/>
          <w:i/>
          <w:iCs/>
          <w:color w:val="222222"/>
          <w:sz w:val="20"/>
          <w:szCs w:val="20"/>
          <w:shd w:val="clear" w:color="auto" w:fill="FFFFFF"/>
        </w:rPr>
        <w:t>Journal of Geophysical Research: Atmospheres</w:t>
      </w:r>
      <w:r w:rsidRPr="00D73175">
        <w:rPr>
          <w:rFonts w:ascii="Times New Roman" w:hAnsi="Times New Roman" w:cs="Times New Roman"/>
          <w:color w:val="222222"/>
          <w:sz w:val="20"/>
          <w:szCs w:val="20"/>
          <w:shd w:val="clear" w:color="auto" w:fill="FFFFFF"/>
        </w:rPr>
        <w:t>, </w:t>
      </w:r>
      <w:r w:rsidRPr="00D73175">
        <w:rPr>
          <w:rFonts w:ascii="Times New Roman" w:hAnsi="Times New Roman" w:cs="Times New Roman"/>
          <w:i/>
          <w:iCs/>
          <w:color w:val="222222"/>
          <w:sz w:val="20"/>
          <w:szCs w:val="20"/>
          <w:shd w:val="clear" w:color="auto" w:fill="FFFFFF"/>
        </w:rPr>
        <w:t>121</w:t>
      </w:r>
      <w:r w:rsidRPr="00D73175">
        <w:rPr>
          <w:rFonts w:ascii="Times New Roman" w:hAnsi="Times New Roman" w:cs="Times New Roman"/>
          <w:color w:val="222222"/>
          <w:sz w:val="20"/>
          <w:szCs w:val="20"/>
          <w:shd w:val="clear" w:color="auto" w:fill="FFFFFF"/>
        </w:rPr>
        <w:t>(19), 11-405.</w:t>
      </w:r>
    </w:p>
    <w:p w14:paraId="10C9866C" w14:textId="77777777" w:rsidR="00E549CC" w:rsidRPr="00D73175" w:rsidRDefault="00E549CC" w:rsidP="00E549CC">
      <w:pPr>
        <w:rPr>
          <w:rFonts w:ascii="Times New Roman" w:hAnsi="Times New Roman" w:cs="Times New Roman"/>
          <w:color w:val="000000" w:themeColor="text1"/>
          <w:lang w:val="en-US"/>
        </w:rPr>
      </w:pPr>
      <w:r w:rsidRPr="00D73175">
        <w:rPr>
          <w:rFonts w:ascii="Times New Roman" w:hAnsi="Times New Roman" w:cs="Times New Roman"/>
          <w:color w:val="222222"/>
          <w:sz w:val="20"/>
          <w:szCs w:val="20"/>
          <w:shd w:val="clear" w:color="auto" w:fill="FFFFFF"/>
        </w:rPr>
        <w:lastRenderedPageBreak/>
        <w:t>Sperber, K. R., Annamalai, H., Kang, I. S., Kitoh, A., Moise, A., Turner, A., ... &amp; Zhou, T. (2013). The Asian summer monsoon: an intercomparison of CMIP5 vs. CMIP3 simulations of the late 20th century. </w:t>
      </w:r>
      <w:r w:rsidRPr="00D73175">
        <w:rPr>
          <w:rFonts w:ascii="Times New Roman" w:hAnsi="Times New Roman" w:cs="Times New Roman"/>
          <w:i/>
          <w:iCs/>
          <w:color w:val="222222"/>
          <w:sz w:val="20"/>
          <w:szCs w:val="20"/>
          <w:shd w:val="clear" w:color="auto" w:fill="FFFFFF"/>
        </w:rPr>
        <w:t>Climate dynamics</w:t>
      </w:r>
      <w:r w:rsidRPr="00D73175">
        <w:rPr>
          <w:rFonts w:ascii="Times New Roman" w:hAnsi="Times New Roman" w:cs="Times New Roman"/>
          <w:color w:val="222222"/>
          <w:sz w:val="20"/>
          <w:szCs w:val="20"/>
          <w:shd w:val="clear" w:color="auto" w:fill="FFFFFF"/>
        </w:rPr>
        <w:t>, </w:t>
      </w:r>
      <w:r w:rsidRPr="00D73175">
        <w:rPr>
          <w:rFonts w:ascii="Times New Roman" w:hAnsi="Times New Roman" w:cs="Times New Roman"/>
          <w:i/>
          <w:iCs/>
          <w:color w:val="222222"/>
          <w:sz w:val="20"/>
          <w:szCs w:val="20"/>
          <w:shd w:val="clear" w:color="auto" w:fill="FFFFFF"/>
        </w:rPr>
        <w:t>41</w:t>
      </w:r>
      <w:r w:rsidRPr="00D73175">
        <w:rPr>
          <w:rFonts w:ascii="Times New Roman" w:hAnsi="Times New Roman" w:cs="Times New Roman"/>
          <w:color w:val="222222"/>
          <w:sz w:val="20"/>
          <w:szCs w:val="20"/>
          <w:shd w:val="clear" w:color="auto" w:fill="FFFFFF"/>
        </w:rPr>
        <w:t>, 2711-2744.</w:t>
      </w:r>
    </w:p>
    <w:p w14:paraId="10C9866D" w14:textId="77777777" w:rsidR="00930E99" w:rsidRDefault="00930E99"/>
    <w:sectPr w:rsidR="00930E99">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B402B1D" w16cex:dateUtc="2024-07-27T17:24:00Z"/>
  <w16cex:commentExtensible w16cex:durableId="499EEEFF" w16cex:dateUtc="2024-07-27T17: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EC6FE24" w16cid:durableId="5B402B1D"/>
  <w16cid:commentId w16cid:paraId="6D7C3B9D" w16cid:durableId="499EEEF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9CC"/>
    <w:rsid w:val="000A6839"/>
    <w:rsid w:val="001162FA"/>
    <w:rsid w:val="00363307"/>
    <w:rsid w:val="003920CC"/>
    <w:rsid w:val="003C56AE"/>
    <w:rsid w:val="00462570"/>
    <w:rsid w:val="0049035F"/>
    <w:rsid w:val="004E7F71"/>
    <w:rsid w:val="005B284B"/>
    <w:rsid w:val="005D0010"/>
    <w:rsid w:val="00651925"/>
    <w:rsid w:val="00657D65"/>
    <w:rsid w:val="00674711"/>
    <w:rsid w:val="008904B7"/>
    <w:rsid w:val="009010A9"/>
    <w:rsid w:val="0091059D"/>
    <w:rsid w:val="00930E99"/>
    <w:rsid w:val="009C0999"/>
    <w:rsid w:val="00AD5812"/>
    <w:rsid w:val="00BB4952"/>
    <w:rsid w:val="00E549CC"/>
    <w:rsid w:val="00E804A5"/>
    <w:rsid w:val="00F617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98623"/>
  <w15:chartTrackingRefBased/>
  <w15:docId w15:val="{4AE24EFA-27CC-465F-A4EC-96F95CB5F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49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5D0010"/>
    <w:pPr>
      <w:spacing w:after="0" w:line="240" w:lineRule="auto"/>
    </w:pPr>
  </w:style>
  <w:style w:type="character" w:styleId="CommentReference">
    <w:name w:val="annotation reference"/>
    <w:basedOn w:val="DefaultParagraphFont"/>
    <w:uiPriority w:val="99"/>
    <w:semiHidden/>
    <w:unhideWhenUsed/>
    <w:rsid w:val="00F6171E"/>
    <w:rPr>
      <w:sz w:val="16"/>
      <w:szCs w:val="16"/>
    </w:rPr>
  </w:style>
  <w:style w:type="paragraph" w:styleId="CommentText">
    <w:name w:val="annotation text"/>
    <w:basedOn w:val="Normal"/>
    <w:link w:val="CommentTextChar"/>
    <w:uiPriority w:val="99"/>
    <w:semiHidden/>
    <w:unhideWhenUsed/>
    <w:rsid w:val="00F6171E"/>
    <w:pPr>
      <w:spacing w:line="240" w:lineRule="auto"/>
    </w:pPr>
    <w:rPr>
      <w:sz w:val="20"/>
      <w:szCs w:val="20"/>
    </w:rPr>
  </w:style>
  <w:style w:type="character" w:customStyle="1" w:styleId="CommentTextChar">
    <w:name w:val="Comment Text Char"/>
    <w:basedOn w:val="DefaultParagraphFont"/>
    <w:link w:val="CommentText"/>
    <w:uiPriority w:val="99"/>
    <w:semiHidden/>
    <w:rsid w:val="00F6171E"/>
    <w:rPr>
      <w:sz w:val="20"/>
      <w:szCs w:val="20"/>
    </w:rPr>
  </w:style>
  <w:style w:type="paragraph" w:styleId="CommentSubject">
    <w:name w:val="annotation subject"/>
    <w:basedOn w:val="CommentText"/>
    <w:next w:val="CommentText"/>
    <w:link w:val="CommentSubjectChar"/>
    <w:uiPriority w:val="99"/>
    <w:semiHidden/>
    <w:unhideWhenUsed/>
    <w:rsid w:val="00F6171E"/>
    <w:rPr>
      <w:b/>
      <w:bCs/>
    </w:rPr>
  </w:style>
  <w:style w:type="character" w:customStyle="1" w:styleId="CommentSubjectChar">
    <w:name w:val="Comment Subject Char"/>
    <w:basedOn w:val="CommentTextChar"/>
    <w:link w:val="CommentSubject"/>
    <w:uiPriority w:val="99"/>
    <w:semiHidden/>
    <w:rsid w:val="00F6171E"/>
    <w:rPr>
      <w:b/>
      <w:bCs/>
      <w:sz w:val="20"/>
      <w:szCs w:val="20"/>
    </w:rPr>
  </w:style>
  <w:style w:type="paragraph" w:styleId="BalloonText">
    <w:name w:val="Balloon Text"/>
    <w:basedOn w:val="Normal"/>
    <w:link w:val="BalloonTextChar"/>
    <w:uiPriority w:val="99"/>
    <w:semiHidden/>
    <w:unhideWhenUsed/>
    <w:rsid w:val="006747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47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jpeg"/><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462</Words>
  <Characters>2636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Newcastle University</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Haider Ali</dc:creator>
  <cp:keywords/>
  <dc:description/>
  <cp:lastModifiedBy>Haider Ali</cp:lastModifiedBy>
  <cp:revision>2</cp:revision>
  <dcterms:created xsi:type="dcterms:W3CDTF">2024-08-09T08:56:00Z</dcterms:created>
  <dcterms:modified xsi:type="dcterms:W3CDTF">2024-08-09T08:56:00Z</dcterms:modified>
</cp:coreProperties>
</file>