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B6027" w14:textId="77777777" w:rsidR="00F308BB" w:rsidRPr="00F308BB" w:rsidRDefault="00F308BB" w:rsidP="00F308BB">
      <w:pPr>
        <w:spacing w:line="480" w:lineRule="auto"/>
        <w:rPr>
          <w:rFonts w:ascii="Arial" w:hAnsi="Arial" w:cs="Arial"/>
          <w:b/>
          <w:color w:val="000000" w:themeColor="text1"/>
          <w:sz w:val="28"/>
          <w:szCs w:val="24"/>
        </w:rPr>
      </w:pPr>
      <w:r w:rsidRPr="00F308BB">
        <w:rPr>
          <w:rFonts w:ascii="Arial" w:hAnsi="Arial" w:cs="Arial"/>
          <w:b/>
          <w:color w:val="000000" w:themeColor="text1"/>
          <w:sz w:val="28"/>
          <w:szCs w:val="24"/>
        </w:rPr>
        <w:t>Supplementary data</w:t>
      </w:r>
    </w:p>
    <w:p w14:paraId="7790B6DF" w14:textId="6103F251" w:rsidR="00B8637C" w:rsidRDefault="00EC61DD">
      <w:r w:rsidRPr="005619B3">
        <w:t>Four</w:t>
      </w:r>
      <w:r w:rsidR="00871E75" w:rsidRPr="005619B3">
        <w:t xml:space="preserve"> Supplemental Figures and One Supplemental Tables</w:t>
      </w:r>
    </w:p>
    <w:p w14:paraId="5E0AA929" w14:textId="35F7E076" w:rsidR="00B8637C" w:rsidRDefault="00B8637C">
      <w:r>
        <w:rPr>
          <w:noProof/>
        </w:rPr>
        <w:drawing>
          <wp:inline distT="0" distB="0" distL="0" distR="0" wp14:anchorId="5AABC91E" wp14:editId="34DFAF37">
            <wp:extent cx="5727700" cy="4345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4345305"/>
                    </a:xfrm>
                    <a:prstGeom prst="rect">
                      <a:avLst/>
                    </a:prstGeom>
                  </pic:spPr>
                </pic:pic>
              </a:graphicData>
            </a:graphic>
          </wp:inline>
        </w:drawing>
      </w:r>
    </w:p>
    <w:p w14:paraId="016AD7A0" w14:textId="6345241D" w:rsidR="00992DE4" w:rsidRDefault="00992DE4" w:rsidP="00992DE4">
      <w:pPr>
        <w:spacing w:line="360" w:lineRule="auto"/>
      </w:pPr>
      <w:r w:rsidRPr="003E504A">
        <w:rPr>
          <w:b/>
        </w:rPr>
        <w:t>Fig. S1</w:t>
      </w:r>
      <w:r w:rsidR="00DB113C" w:rsidRPr="00AE6B23">
        <w:t xml:space="preserve"> Multiple sequence alignment of </w:t>
      </w:r>
      <w:r w:rsidR="000F4932" w:rsidRPr="00AE6B23">
        <w:t>Ph</w:t>
      </w:r>
      <w:r w:rsidR="00DB113C" w:rsidRPr="00AE6B23">
        <w:t>HMA5</w:t>
      </w:r>
      <w:r w:rsidR="000F4932" w:rsidRPr="00AE6B23">
        <w:t>I</w:t>
      </w:r>
      <w:r w:rsidR="00DB113C" w:rsidRPr="00AE6B23">
        <w:t>I</w:t>
      </w:r>
      <w:r w:rsidR="000F4932" w:rsidRPr="00AE6B23">
        <w:t>1</w:t>
      </w:r>
      <w:r w:rsidR="00DB113C" w:rsidRPr="00AE6B23">
        <w:t xml:space="preserve">, </w:t>
      </w:r>
      <w:r w:rsidR="000F4932" w:rsidRPr="00AE6B23">
        <w:t>Os</w:t>
      </w:r>
      <w:r w:rsidR="00DB113C" w:rsidRPr="00AE6B23">
        <w:t>HMA5 and AtHMA5.</w:t>
      </w:r>
      <w:r w:rsidR="00DB113C" w:rsidRPr="00DB113C">
        <w:t xml:space="preserve"> The red squares indicate the position and name of the conserved domains</w:t>
      </w:r>
      <w:r w:rsidR="00B27F11">
        <w:t xml:space="preserve"> P</w:t>
      </w:r>
      <w:r w:rsidR="00B27F11" w:rsidRPr="00053A09">
        <w:rPr>
          <w:vertAlign w:val="subscript"/>
        </w:rPr>
        <w:t>1B</w:t>
      </w:r>
      <w:r w:rsidR="00B27F11">
        <w:t>-type ATPases</w:t>
      </w:r>
      <w:r w:rsidR="00DB113C" w:rsidRPr="00DB113C">
        <w:t xml:space="preserve"> </w:t>
      </w:r>
      <w:r w:rsidR="007D4F3A">
        <w:fldChar w:fldCharType="begin" w:fldLock="1"/>
      </w:r>
      <w:r w:rsidR="007D4F3A">
        <w:instrText>ADDIN CSL_CITATION {"citationItems":[{"id":"ITEM-1","itemData":{"DOI":"10.1111/j.1365-313X.2005.02601.x","ISBN":"0960-7412 (Print)\\r0960-7412 (Linking)","ISSN":"09607412","PMID":"16367966","abstract":"Since copper (Cu) is essential in key physiological oxidation reactions, organisms have developed strategies for handling Cu while avoiding its potentially toxic effects. Among the tools that have evolved to cope with Cu is a network of Cu homeostasis factors such as Cu-transporting P-type ATPases that play a key role in transmembrane Cu transport. In this work we present the functional characterization of an Arabidopsis Cu-transporting P-type ATPase, denoted heavy metal ATPase 5 (HMA5), and its interaction with Arabidopsis metallochaperones. HMA5 is primarily expressed in roots, and is strongly and specifically induced by Cu in whole plants. We have identified and characterized plants carrying two independent T-DNA insertion alleles, hma5-1 and hma5-2. Both mutants are hypersensitive to Cu but not to other metals such as iron, zinc or cadmium. Interestingly, root tips from Cu-treated hma5 mutants exhibit a wave-like phenotype at early stages and later on main root growth completely arrests whereas lateral roots emerge near the crown. Accordingly, these lines accumulate Cu in roots to a greater extent than wild-type plants under Cu excess. Finally, yeast two-hybrid experiments demonstrate that the metal-binding domains of HMA5 interact with Arabidopsis ATX1-like Cu chaperones, and suggest a regulatory role for the plant-specific domain of the CCH Cu chaperone. Based on these findings, we propose a role for HMA5 in Cu compartmentalization and detoxification.","author":[{"dropping-particle":"","family":"Andrés-Colás","given":"Nuria","non-dropping-particle":"","parse-names":false,"suffix":""},{"dropping-particle":"","family":"Sancenón","given":"Vicente","non-dropping-particle":"","parse-names":false,"suffix":""},{"dropping-particle":"","family":"Rodríguez-Navarro","given":"Susana","non-dropping-particle":"","parse-names":false,"suffix":""},{"dropping-particle":"","family":"Mayo","given":"Sonia","non-dropping-particle":"","parse-names":false,"suffix":""},{"dropping-particle":"","family":"Thiele","given":"Dennis J.","non-dropping-particle":"","parse-names":false,"suffix":""},{"dropping-particle":"","family":"Ecker","given":"Joseph R.","non-dropping-particle":"","parse-names":false,"suffix":""},{"dropping-particle":"","family":"Puig","given":"Sergi","non-dropping-particle":"","parse-names":false,"suffix":""},{"dropping-particle":"","family":"Peñarrubia","given":"Lola","non-dropping-particle":"","parse-names":false,"suffix":""}],"container-title":"Plant Journal","id":"ITEM-1","issue":"2","issued":{"date-parts":[["2006"]]},"page":"225-236","title":"The Arabidopsis heavy metal P-type ATPase HMA5 interacts with metallochaperones and functions in copper detoxification of roots","type":"article-journal","volume":"45"},"uris":["http://www.mendeley.com/documents/?uuid=83d97f2c-f711-4e2e-bb13-ede959329c7f"]}],"mendeley":{"formattedCitation":"(Andrés-Colás et al., 2006)","plainTextFormattedCitation":"(Andrés-Colás et al., 2006)"},"properties":{"noteIndex":0},"schema":"https://github.com/citation-style-language/schema/raw/master/csl-citation.json"}</w:instrText>
      </w:r>
      <w:r w:rsidR="007D4F3A">
        <w:fldChar w:fldCharType="separate"/>
      </w:r>
      <w:r w:rsidR="007D4F3A" w:rsidRPr="007D4F3A">
        <w:rPr>
          <w:noProof/>
        </w:rPr>
        <w:t>(Andrés-Colás et al., 2006)</w:t>
      </w:r>
      <w:r w:rsidR="007D4F3A">
        <w:fldChar w:fldCharType="end"/>
      </w:r>
      <w:r w:rsidR="003B51E8">
        <w:t>,</w:t>
      </w:r>
      <w:r w:rsidR="00DB113C" w:rsidRPr="00DB113C">
        <w:t xml:space="preserve"> including two </w:t>
      </w:r>
      <w:proofErr w:type="spellStart"/>
      <w:r w:rsidR="003B51E8">
        <w:t>Mx</w:t>
      </w:r>
      <w:r w:rsidR="00DB113C" w:rsidRPr="00DB113C">
        <w:t>CxxC</w:t>
      </w:r>
      <w:proofErr w:type="spellEnd"/>
      <w:r w:rsidR="00DB113C" w:rsidRPr="00DB113C">
        <w:t xml:space="preserve"> Cu-binding </w:t>
      </w:r>
      <w:r w:rsidR="003B51E8">
        <w:t>motif</w:t>
      </w:r>
      <w:r w:rsidR="00DB113C" w:rsidRPr="00DB113C">
        <w:t>, a CPC(</w:t>
      </w:r>
      <w:r w:rsidR="0073314E">
        <w:t>x</w:t>
      </w:r>
      <w:r w:rsidR="00DB113C" w:rsidRPr="00DB113C">
        <w:t>)</w:t>
      </w:r>
      <w:r w:rsidR="00DB113C" w:rsidRPr="0073314E">
        <w:rPr>
          <w:vertAlign w:val="subscript"/>
        </w:rPr>
        <w:t>6</w:t>
      </w:r>
      <w:r w:rsidR="00DB113C" w:rsidRPr="00DB113C">
        <w:t xml:space="preserve">P transduction </w:t>
      </w:r>
      <w:r w:rsidR="00BC1799">
        <w:t>motif</w:t>
      </w:r>
      <w:r w:rsidR="00DB113C" w:rsidRPr="00DB113C">
        <w:t>, an aspartyl kinase domain (DKTGT), and HP motif and an ATP binding domain.</w:t>
      </w:r>
    </w:p>
    <w:p w14:paraId="6E8755BB" w14:textId="04B873AF" w:rsidR="00D450F4" w:rsidRDefault="00D450F4" w:rsidP="00992DE4">
      <w:pPr>
        <w:spacing w:line="360" w:lineRule="auto"/>
      </w:pPr>
    </w:p>
    <w:p w14:paraId="333AC3F0" w14:textId="2936EBF3" w:rsidR="00214796" w:rsidRDefault="00B93615" w:rsidP="00992DE4">
      <w:pPr>
        <w:spacing w:line="360" w:lineRule="auto"/>
      </w:pPr>
      <w:r>
        <w:rPr>
          <w:noProof/>
        </w:rPr>
        <w:drawing>
          <wp:inline distT="0" distB="0" distL="0" distR="0" wp14:anchorId="020376CE" wp14:editId="20C463D7">
            <wp:extent cx="1803400"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1019_16_O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3400" cy="1752600"/>
                    </a:xfrm>
                    <a:prstGeom prst="rect">
                      <a:avLst/>
                    </a:prstGeom>
                  </pic:spPr>
                </pic:pic>
              </a:graphicData>
            </a:graphic>
          </wp:inline>
        </w:drawing>
      </w:r>
    </w:p>
    <w:p w14:paraId="3B068FA3" w14:textId="687A8C7F" w:rsidR="00B93615" w:rsidRDefault="00B93615" w:rsidP="00992DE4">
      <w:pPr>
        <w:spacing w:line="360" w:lineRule="auto"/>
      </w:pPr>
      <w:r w:rsidRPr="003E504A">
        <w:rPr>
          <w:b/>
        </w:rPr>
        <w:t>Fig. S2</w:t>
      </w:r>
      <w:r w:rsidRPr="00AE6B23">
        <w:t xml:space="preserve"> </w:t>
      </w:r>
      <w:r w:rsidR="007E3C7D" w:rsidRPr="00AE6B23">
        <w:t>Detection of PhHMA5II1 overexpression plants.</w:t>
      </w:r>
      <w:r w:rsidR="007E3C7D">
        <w:t xml:space="preserve"> </w:t>
      </w:r>
      <w:r w:rsidR="00785060">
        <w:t>The expression level of PhHMA5II1 in the leaf of wild-type petunia and overexpressing plants</w:t>
      </w:r>
      <w:r w:rsidR="001872C9">
        <w:t xml:space="preserve">. </w:t>
      </w:r>
      <w:r w:rsidR="00997CA1">
        <w:t>EF1</w:t>
      </w:r>
      <w:r w:rsidR="00997CA1">
        <w:rPr>
          <w:rFonts w:ascii="Cambria Math" w:hAnsi="Cambria Math" w:cs="Cambria Math"/>
        </w:rPr>
        <w:t xml:space="preserve">α </w:t>
      </w:r>
      <w:r w:rsidR="00997CA1">
        <w:t>was used as the reference gene.</w:t>
      </w:r>
    </w:p>
    <w:p w14:paraId="406CE2FE" w14:textId="2C4CF19B" w:rsidR="0000055B" w:rsidRDefault="0000055B" w:rsidP="00992DE4">
      <w:pPr>
        <w:spacing w:line="360" w:lineRule="auto"/>
      </w:pPr>
    </w:p>
    <w:p w14:paraId="28376067" w14:textId="06172CDF" w:rsidR="00D86C7A" w:rsidRDefault="000304E8" w:rsidP="00992DE4">
      <w:pPr>
        <w:spacing w:line="360" w:lineRule="auto"/>
      </w:pPr>
      <w:r>
        <w:rPr>
          <w:noProof/>
        </w:rPr>
        <w:lastRenderedPageBreak/>
        <w:drawing>
          <wp:inline distT="0" distB="0" distL="0" distR="0" wp14:anchorId="42210D27" wp14:editId="2883BC35">
            <wp:extent cx="5503133" cy="72913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X.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10158" cy="7300654"/>
                    </a:xfrm>
                    <a:prstGeom prst="rect">
                      <a:avLst/>
                    </a:prstGeom>
                  </pic:spPr>
                </pic:pic>
              </a:graphicData>
            </a:graphic>
          </wp:inline>
        </w:drawing>
      </w:r>
    </w:p>
    <w:p w14:paraId="1C1967FA" w14:textId="77588647" w:rsidR="00886C23" w:rsidRPr="003F1006" w:rsidRDefault="00D86C7A" w:rsidP="001C25B3">
      <w:pPr>
        <w:spacing w:line="360" w:lineRule="auto"/>
      </w:pPr>
      <w:r w:rsidRPr="003E504A">
        <w:rPr>
          <w:b/>
        </w:rPr>
        <w:t xml:space="preserve">Fig. </w:t>
      </w:r>
      <w:r w:rsidR="001C25B3" w:rsidRPr="003E504A">
        <w:rPr>
          <w:b/>
        </w:rPr>
        <w:t>S3</w:t>
      </w:r>
      <w:r w:rsidR="008155F9">
        <w:rPr>
          <w:b/>
        </w:rPr>
        <w:t xml:space="preserve"> </w:t>
      </w:r>
      <w:r w:rsidR="0057033B" w:rsidRPr="00104E7A">
        <w:t>Phylogenetic analysis</w:t>
      </w:r>
      <w:r w:rsidR="0057033B">
        <w:t xml:space="preserve"> and multiple sequence alignment of ATX1 homologs from different species.</w:t>
      </w:r>
      <w:r w:rsidR="00AF77C9">
        <w:t xml:space="preserve"> </w:t>
      </w:r>
      <w:r w:rsidR="002F61C1">
        <w:rPr>
          <w:b/>
        </w:rPr>
        <w:t>a</w:t>
      </w:r>
      <w:r w:rsidR="00AF77C9">
        <w:t xml:space="preserve">, </w:t>
      </w:r>
      <w:r w:rsidR="00AF77C9" w:rsidRPr="000E3BF2">
        <w:t xml:space="preserve">Maximum likelihood phylogenies were inferred using IQ-TREE under the </w:t>
      </w:r>
      <w:r w:rsidR="00950B0C" w:rsidRPr="00950B0C">
        <w:t>WAG+G4</w:t>
      </w:r>
      <w:r w:rsidR="00950B0C">
        <w:t xml:space="preserve"> </w:t>
      </w:r>
      <w:r w:rsidR="00AF77C9" w:rsidRPr="000E3BF2">
        <w:t xml:space="preserve">model. </w:t>
      </w:r>
      <w:r w:rsidR="00AF77C9">
        <w:t>B</w:t>
      </w:r>
      <w:r w:rsidR="00AF77C9" w:rsidRPr="00B96075">
        <w:t xml:space="preserve">ranch support is indicated </w:t>
      </w:r>
      <w:r w:rsidR="00AF77C9" w:rsidRPr="000E3BF2">
        <w:t xml:space="preserve">on the tree branches </w:t>
      </w:r>
      <w:r w:rsidR="00AF77C9" w:rsidRPr="00B96075">
        <w:t xml:space="preserve">as percentage of </w:t>
      </w:r>
      <w:r w:rsidR="00AF77C9">
        <w:t>1000</w:t>
      </w:r>
      <w:r w:rsidR="00AF77C9" w:rsidRPr="00B96075">
        <w:t xml:space="preserve"> bootstraps if </w:t>
      </w:r>
      <w:r w:rsidR="00AF77C9">
        <w:t>≥</w:t>
      </w:r>
      <w:r w:rsidR="00FA253D">
        <w:t>8</w:t>
      </w:r>
      <w:r w:rsidR="00AF77C9">
        <w:t>0%</w:t>
      </w:r>
      <w:r w:rsidR="00AF77C9" w:rsidRPr="000E3BF2">
        <w:t xml:space="preserve">. </w:t>
      </w:r>
      <w:r w:rsidR="00AF77C9" w:rsidRPr="00427C5A">
        <w:t xml:space="preserve">For each species, the protein(s) with most similarity to </w:t>
      </w:r>
      <w:r w:rsidR="00FA253D">
        <w:t>AtATX1</w:t>
      </w:r>
      <w:r w:rsidR="00AF77C9" w:rsidRPr="00427C5A">
        <w:t xml:space="preserve"> and </w:t>
      </w:r>
      <w:proofErr w:type="spellStart"/>
      <w:r w:rsidR="00FA253D">
        <w:t>AtCCH</w:t>
      </w:r>
      <w:proofErr w:type="spellEnd"/>
      <w:r w:rsidR="00AF77C9" w:rsidRPr="00427C5A">
        <w:t xml:space="preserve"> is shown.</w:t>
      </w:r>
      <w:r w:rsidR="00AF77C9">
        <w:t xml:space="preserve"> </w:t>
      </w:r>
      <w:r w:rsidR="00AF77C9" w:rsidRPr="000E3BF2">
        <w:t xml:space="preserve">Petunia </w:t>
      </w:r>
      <w:r w:rsidR="00F26B58">
        <w:t>and</w:t>
      </w:r>
      <w:r w:rsidR="00AF77C9" w:rsidRPr="000E3BF2">
        <w:t xml:space="preserve"> Arabidopsis </w:t>
      </w:r>
      <w:r w:rsidR="002D7602">
        <w:t>copper chaperones</w:t>
      </w:r>
      <w:r w:rsidR="00AF77C9">
        <w:t xml:space="preserve"> </w:t>
      </w:r>
      <w:r w:rsidR="00AF77C9" w:rsidRPr="000E3BF2">
        <w:t>are marked in red color.</w:t>
      </w:r>
      <w:r w:rsidR="00AF77C9">
        <w:t xml:space="preserve"> </w:t>
      </w:r>
      <w:r w:rsidR="006A389B">
        <w:t>CCS</w:t>
      </w:r>
      <w:r w:rsidR="00AF77C9">
        <w:t xml:space="preserve">s </w:t>
      </w:r>
      <w:r w:rsidR="00AF77C9" w:rsidRPr="00BC4921">
        <w:t>served as an outgroup</w:t>
      </w:r>
      <w:r w:rsidR="00AF77C9">
        <w:t>.</w:t>
      </w:r>
      <w:r w:rsidR="00AF5026">
        <w:t xml:space="preserve"> </w:t>
      </w:r>
      <w:r w:rsidR="002F61C1">
        <w:rPr>
          <w:b/>
        </w:rPr>
        <w:t>b</w:t>
      </w:r>
      <w:r w:rsidR="00AF5026">
        <w:t>,</w:t>
      </w:r>
      <w:r w:rsidR="000073F8">
        <w:t xml:space="preserve"> </w:t>
      </w:r>
      <w:r w:rsidR="00C90858">
        <w:t>multiple sequence alignment of ATX1 homologs from Arabidopsis, rice and petunia.</w:t>
      </w:r>
    </w:p>
    <w:p w14:paraId="552B7473" w14:textId="1D69E9F4" w:rsidR="00864499" w:rsidRDefault="00886C23" w:rsidP="00992DE4">
      <w:pPr>
        <w:spacing w:line="360" w:lineRule="auto"/>
      </w:pPr>
      <w:bookmarkStart w:id="0" w:name="_GoBack"/>
      <w:r>
        <w:rPr>
          <w:noProof/>
        </w:rPr>
        <w:lastRenderedPageBreak/>
        <w:drawing>
          <wp:inline distT="0" distB="0" distL="0" distR="0" wp14:anchorId="0002B146" wp14:editId="57D5DDFF">
            <wp:extent cx="4953663" cy="16157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_II1_RNAseq.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7485" cy="1633262"/>
                    </a:xfrm>
                    <a:prstGeom prst="rect">
                      <a:avLst/>
                    </a:prstGeom>
                  </pic:spPr>
                </pic:pic>
              </a:graphicData>
            </a:graphic>
          </wp:inline>
        </w:drawing>
      </w:r>
      <w:bookmarkEnd w:id="0"/>
    </w:p>
    <w:p w14:paraId="3F0854C9" w14:textId="7E6EA865" w:rsidR="00864499" w:rsidRDefault="00864499" w:rsidP="00992DE4">
      <w:pPr>
        <w:spacing w:line="360" w:lineRule="auto"/>
      </w:pPr>
      <w:r w:rsidRPr="003E504A">
        <w:rPr>
          <w:b/>
        </w:rPr>
        <w:t>Fig. S</w:t>
      </w:r>
      <w:r w:rsidR="000D2F26" w:rsidRPr="003E504A">
        <w:rPr>
          <w:b/>
        </w:rPr>
        <w:t>4</w:t>
      </w:r>
      <w:r w:rsidR="00DD1B36">
        <w:t xml:space="preserve"> </w:t>
      </w:r>
      <w:r w:rsidR="00EA2102" w:rsidRPr="00EA2102">
        <w:t xml:space="preserve">Differentially expressed genes (DEGs) in </w:t>
      </w:r>
      <w:r w:rsidR="00B71661">
        <w:t>roots under control and excess Cu conditions.</w:t>
      </w:r>
      <w:r w:rsidR="00EA2102" w:rsidRPr="00EA2102">
        <w:t xml:space="preserve"> </w:t>
      </w:r>
      <w:r w:rsidR="00F910D0">
        <w:rPr>
          <w:b/>
        </w:rPr>
        <w:t>a</w:t>
      </w:r>
      <w:r w:rsidR="006B5FDC">
        <w:t>,</w:t>
      </w:r>
      <w:r w:rsidR="00EA2102" w:rsidRPr="00EA2102">
        <w:t xml:space="preserve"> Venn diagram showing the number of DEGs, fold change </w:t>
      </w:r>
      <w:r w:rsidR="0004389D">
        <w:t>≥</w:t>
      </w:r>
      <w:r w:rsidR="00EA2102" w:rsidRPr="00EA2102">
        <w:t xml:space="preserve"> 2 and FDR &lt; 0.05. </w:t>
      </w:r>
      <w:r w:rsidR="00F910D0">
        <w:rPr>
          <w:b/>
        </w:rPr>
        <w:t>b</w:t>
      </w:r>
      <w:r w:rsidR="001C6645">
        <w:t>,</w:t>
      </w:r>
      <w:r w:rsidR="00EA2102" w:rsidRPr="00EA2102">
        <w:t xml:space="preserve"> </w:t>
      </w:r>
      <w:r w:rsidR="0067374D" w:rsidRPr="0067374D">
        <w:t xml:space="preserve">Numbers of downregulated and upregulated DEGs under </w:t>
      </w:r>
      <w:r w:rsidR="00920F95">
        <w:t>control and excess</w:t>
      </w:r>
      <w:r w:rsidR="0067374D" w:rsidRPr="0067374D">
        <w:t xml:space="preserve"> C</w:t>
      </w:r>
      <w:r w:rsidR="00920F95">
        <w:t xml:space="preserve">u </w:t>
      </w:r>
      <w:r w:rsidR="0067374D" w:rsidRPr="0067374D">
        <w:t>treatment</w:t>
      </w:r>
      <w:r w:rsidR="00650ACE">
        <w:t>.</w:t>
      </w:r>
    </w:p>
    <w:p w14:paraId="2C1EDEF7" w14:textId="77777777" w:rsidR="00864499" w:rsidRDefault="00864499" w:rsidP="00992DE4">
      <w:pPr>
        <w:spacing w:line="360" w:lineRule="auto"/>
      </w:pPr>
    </w:p>
    <w:p w14:paraId="4F77C004" w14:textId="5EC85373" w:rsidR="00D450F4" w:rsidRPr="001C7E4E" w:rsidRDefault="00D450F4" w:rsidP="00D450F4">
      <w:pPr>
        <w:spacing w:line="480" w:lineRule="auto"/>
        <w:rPr>
          <w:rFonts w:ascii="Arial" w:hAnsi="Arial" w:cs="Arial"/>
          <w:bCs/>
          <w:kern w:val="0"/>
          <w:szCs w:val="21"/>
        </w:rPr>
      </w:pPr>
      <w:r w:rsidRPr="001C7E4E">
        <w:rPr>
          <w:rFonts w:ascii="Arial" w:hAnsi="Arial" w:cs="Arial"/>
          <w:b/>
          <w:kern w:val="0"/>
          <w:szCs w:val="21"/>
        </w:rPr>
        <w:t>Table S1.</w:t>
      </w:r>
      <w:r w:rsidRPr="001C7E4E">
        <w:rPr>
          <w:rFonts w:ascii="Arial" w:hAnsi="Arial" w:cs="Arial"/>
          <w:bCs/>
          <w:kern w:val="0"/>
          <w:szCs w:val="21"/>
        </w:rPr>
        <w:t xml:space="preserve"> List of primers used in </w:t>
      </w:r>
      <w:r w:rsidR="00C965B1" w:rsidRPr="001C7E4E">
        <w:rPr>
          <w:rFonts w:ascii="Arial" w:hAnsi="Arial" w:cs="Arial"/>
          <w:bCs/>
          <w:kern w:val="0"/>
          <w:szCs w:val="21"/>
        </w:rPr>
        <w:t>this</w:t>
      </w:r>
      <w:r w:rsidRPr="001C7E4E">
        <w:rPr>
          <w:rFonts w:ascii="Arial" w:hAnsi="Arial" w:cs="Arial"/>
          <w:bCs/>
          <w:kern w:val="0"/>
          <w:szCs w:val="21"/>
        </w:rPr>
        <w:t xml:space="preserve"> study.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521"/>
      </w:tblGrid>
      <w:tr w:rsidR="00D450F4" w:rsidRPr="000C0FCE" w14:paraId="142C14B6" w14:textId="77777777" w:rsidTr="00FF1DE1">
        <w:trPr>
          <w:trHeight w:val="496"/>
          <w:jc w:val="center"/>
        </w:trPr>
        <w:tc>
          <w:tcPr>
            <w:tcW w:w="1134" w:type="dxa"/>
            <w:tcBorders>
              <w:top w:val="single" w:sz="4" w:space="0" w:color="auto"/>
              <w:bottom w:val="single" w:sz="4" w:space="0" w:color="auto"/>
            </w:tcBorders>
            <w:vAlign w:val="center"/>
          </w:tcPr>
          <w:p w14:paraId="400E27AE" w14:textId="77777777" w:rsidR="00D450F4" w:rsidRPr="00FF1DE1" w:rsidRDefault="00D450F4" w:rsidP="00597604">
            <w:pPr>
              <w:spacing w:line="300" w:lineRule="exact"/>
              <w:jc w:val="center"/>
              <w:rPr>
                <w:rFonts w:ascii="Arial" w:hAnsi="Arial" w:cs="Arial"/>
                <w:b/>
                <w:szCs w:val="21"/>
              </w:rPr>
            </w:pPr>
            <w:r w:rsidRPr="00FF1DE1">
              <w:rPr>
                <w:rFonts w:ascii="Arial" w:hAnsi="Arial" w:cs="Arial"/>
                <w:b/>
                <w:szCs w:val="21"/>
              </w:rPr>
              <w:t>Primers</w:t>
            </w:r>
          </w:p>
        </w:tc>
        <w:tc>
          <w:tcPr>
            <w:tcW w:w="7521" w:type="dxa"/>
            <w:tcBorders>
              <w:top w:val="single" w:sz="4" w:space="0" w:color="auto"/>
              <w:bottom w:val="single" w:sz="4" w:space="0" w:color="auto"/>
            </w:tcBorders>
            <w:vAlign w:val="center"/>
          </w:tcPr>
          <w:p w14:paraId="7A1509F6" w14:textId="5C20DC23" w:rsidR="00D450F4" w:rsidRPr="00FF1DE1" w:rsidRDefault="00D450F4" w:rsidP="00597604">
            <w:pPr>
              <w:spacing w:line="300" w:lineRule="exact"/>
              <w:jc w:val="center"/>
              <w:rPr>
                <w:rFonts w:ascii="Arial" w:hAnsi="Arial" w:cs="Arial"/>
                <w:b/>
                <w:szCs w:val="21"/>
              </w:rPr>
            </w:pPr>
            <w:r w:rsidRPr="00FF1DE1">
              <w:rPr>
                <w:rFonts w:ascii="Arial" w:hAnsi="Arial" w:cs="Arial"/>
                <w:b/>
                <w:szCs w:val="21"/>
              </w:rPr>
              <w:t>Sequences</w:t>
            </w:r>
            <w:r w:rsidR="000F0113" w:rsidRPr="00FF1DE1">
              <w:rPr>
                <w:rFonts w:ascii="Arial" w:hAnsi="Arial" w:cs="Arial"/>
                <w:b/>
                <w:szCs w:val="21"/>
              </w:rPr>
              <w:t xml:space="preserve"> (5’-3’)</w:t>
            </w:r>
          </w:p>
        </w:tc>
      </w:tr>
      <w:tr w:rsidR="00D450F4" w:rsidRPr="00352A00" w14:paraId="1CBF5700" w14:textId="77777777" w:rsidTr="00FF1DE1">
        <w:trPr>
          <w:jc w:val="center"/>
        </w:trPr>
        <w:tc>
          <w:tcPr>
            <w:tcW w:w="1134" w:type="dxa"/>
            <w:vAlign w:val="center"/>
          </w:tcPr>
          <w:p w14:paraId="06C8D6E0" w14:textId="525503D9" w:rsidR="00D450F4" w:rsidRPr="00352A00" w:rsidRDefault="00740FA7" w:rsidP="00352A00">
            <w:pPr>
              <w:spacing w:line="360" w:lineRule="auto"/>
            </w:pPr>
            <w:r w:rsidRPr="00352A00">
              <w:t>0895</w:t>
            </w:r>
          </w:p>
        </w:tc>
        <w:tc>
          <w:tcPr>
            <w:tcW w:w="7521" w:type="dxa"/>
            <w:vAlign w:val="center"/>
          </w:tcPr>
          <w:p w14:paraId="61E802C6" w14:textId="36F54B84" w:rsidR="00D450F4" w:rsidRPr="00352A00" w:rsidRDefault="00ED4E54" w:rsidP="00352A00">
            <w:pPr>
              <w:spacing w:line="360" w:lineRule="auto"/>
            </w:pPr>
            <w:r w:rsidRPr="00ED4E54">
              <w:t>CCCTCTAGATGCATGCTCGAGTCACTCAACAGTTATGCCTCCAATC</w:t>
            </w:r>
          </w:p>
        </w:tc>
      </w:tr>
      <w:tr w:rsidR="00D450F4" w:rsidRPr="00352A00" w14:paraId="19838162" w14:textId="77777777" w:rsidTr="00FF1DE1">
        <w:trPr>
          <w:jc w:val="center"/>
        </w:trPr>
        <w:tc>
          <w:tcPr>
            <w:tcW w:w="1134" w:type="dxa"/>
            <w:vAlign w:val="center"/>
          </w:tcPr>
          <w:p w14:paraId="73795225" w14:textId="42F62449" w:rsidR="00D450F4" w:rsidRPr="00352A00" w:rsidRDefault="007D3DED" w:rsidP="00352A00">
            <w:pPr>
              <w:spacing w:line="360" w:lineRule="auto"/>
            </w:pPr>
            <w:r w:rsidRPr="00352A00">
              <w:t>0903</w:t>
            </w:r>
          </w:p>
        </w:tc>
        <w:tc>
          <w:tcPr>
            <w:tcW w:w="7521" w:type="dxa"/>
            <w:vAlign w:val="center"/>
          </w:tcPr>
          <w:p w14:paraId="105149A9" w14:textId="425199B6" w:rsidR="00D450F4" w:rsidRPr="00352A00" w:rsidRDefault="000F0113" w:rsidP="00352A00">
            <w:pPr>
              <w:spacing w:line="360" w:lineRule="auto"/>
            </w:pPr>
            <w:r w:rsidRPr="00352A00">
              <w:t>GCCGCCAGTGTGCTGGAATTCATGGCAACTGCAAAGTTTCTTTC</w:t>
            </w:r>
          </w:p>
        </w:tc>
      </w:tr>
      <w:tr w:rsidR="00D450F4" w:rsidRPr="00352A00" w14:paraId="0A165292" w14:textId="77777777" w:rsidTr="00FF1DE1">
        <w:trPr>
          <w:jc w:val="center"/>
        </w:trPr>
        <w:tc>
          <w:tcPr>
            <w:tcW w:w="1134" w:type="dxa"/>
            <w:vAlign w:val="center"/>
          </w:tcPr>
          <w:p w14:paraId="65074DCA" w14:textId="03880504" w:rsidR="00D450F4" w:rsidRPr="00352A00" w:rsidRDefault="00A67BDE" w:rsidP="00352A00">
            <w:pPr>
              <w:spacing w:line="360" w:lineRule="auto"/>
            </w:pPr>
            <w:r>
              <w:t>0995</w:t>
            </w:r>
          </w:p>
        </w:tc>
        <w:tc>
          <w:tcPr>
            <w:tcW w:w="7521" w:type="dxa"/>
            <w:vAlign w:val="center"/>
          </w:tcPr>
          <w:p w14:paraId="64401945" w14:textId="0B713427" w:rsidR="00D450F4" w:rsidRPr="00352A00" w:rsidRDefault="00A67BDE" w:rsidP="00352A00">
            <w:pPr>
              <w:spacing w:line="360" w:lineRule="auto"/>
            </w:pPr>
            <w:r w:rsidRPr="00A67BDE">
              <w:t>GCCGCCAGTGTGCTGGAATTCATGGAACTGCAAAGTTTCTTTC</w:t>
            </w:r>
          </w:p>
        </w:tc>
      </w:tr>
      <w:tr w:rsidR="00D450F4" w:rsidRPr="00352A00" w14:paraId="1AD2CB67" w14:textId="77777777" w:rsidTr="00FF1DE1">
        <w:trPr>
          <w:jc w:val="center"/>
        </w:trPr>
        <w:tc>
          <w:tcPr>
            <w:tcW w:w="1134" w:type="dxa"/>
            <w:vAlign w:val="center"/>
          </w:tcPr>
          <w:p w14:paraId="156A711A" w14:textId="12FDC357" w:rsidR="00D450F4" w:rsidRPr="00352A00" w:rsidRDefault="00E81845" w:rsidP="00352A00">
            <w:pPr>
              <w:spacing w:line="360" w:lineRule="auto"/>
            </w:pPr>
            <w:r>
              <w:t>062K</w:t>
            </w:r>
          </w:p>
        </w:tc>
        <w:tc>
          <w:tcPr>
            <w:tcW w:w="7521" w:type="dxa"/>
            <w:vAlign w:val="center"/>
          </w:tcPr>
          <w:p w14:paraId="2F819F8E" w14:textId="2DCDFFCE" w:rsidR="00D450F4" w:rsidRPr="00352A00" w:rsidRDefault="00E81845" w:rsidP="00352A00">
            <w:pPr>
              <w:spacing w:line="360" w:lineRule="auto"/>
            </w:pPr>
            <w:r w:rsidRPr="00E81845">
              <w:t>ATCCTGGTCAAATTGGAAACGG</w:t>
            </w:r>
          </w:p>
        </w:tc>
      </w:tr>
      <w:tr w:rsidR="00E81845" w:rsidRPr="00352A00" w14:paraId="500113C8" w14:textId="77777777" w:rsidTr="00FF1DE1">
        <w:trPr>
          <w:jc w:val="center"/>
        </w:trPr>
        <w:tc>
          <w:tcPr>
            <w:tcW w:w="1134" w:type="dxa"/>
            <w:vAlign w:val="center"/>
          </w:tcPr>
          <w:p w14:paraId="3C3124E2" w14:textId="665E8224" w:rsidR="00E81845" w:rsidRDefault="00E81845" w:rsidP="00352A00">
            <w:pPr>
              <w:spacing w:line="360" w:lineRule="auto"/>
            </w:pPr>
            <w:r>
              <w:t>063K</w:t>
            </w:r>
          </w:p>
        </w:tc>
        <w:tc>
          <w:tcPr>
            <w:tcW w:w="7521" w:type="dxa"/>
            <w:vAlign w:val="center"/>
          </w:tcPr>
          <w:p w14:paraId="4460C8B8" w14:textId="5A96970D" w:rsidR="00E81845" w:rsidRPr="00E81845" w:rsidRDefault="00E81845" w:rsidP="00352A00">
            <w:pPr>
              <w:spacing w:line="360" w:lineRule="auto"/>
            </w:pPr>
            <w:r w:rsidRPr="00E81845">
              <w:t>CAGATCGCCTGTCAATCTTGG</w:t>
            </w:r>
          </w:p>
        </w:tc>
      </w:tr>
      <w:tr w:rsidR="00C93462" w:rsidRPr="00352A00" w14:paraId="39187CCE" w14:textId="77777777" w:rsidTr="00FF1DE1">
        <w:trPr>
          <w:jc w:val="center"/>
        </w:trPr>
        <w:tc>
          <w:tcPr>
            <w:tcW w:w="1134" w:type="dxa"/>
            <w:vAlign w:val="center"/>
          </w:tcPr>
          <w:p w14:paraId="5FB0EB50" w14:textId="5731D63B" w:rsidR="00C93462" w:rsidRDefault="00933701" w:rsidP="00352A00">
            <w:pPr>
              <w:spacing w:line="360" w:lineRule="auto"/>
            </w:pPr>
            <w:r>
              <w:t>0256</w:t>
            </w:r>
          </w:p>
        </w:tc>
        <w:tc>
          <w:tcPr>
            <w:tcW w:w="7521" w:type="dxa"/>
            <w:vAlign w:val="center"/>
          </w:tcPr>
          <w:p w14:paraId="2140415E" w14:textId="7741DD91" w:rsidR="00C93462" w:rsidRPr="00933701" w:rsidRDefault="00933701" w:rsidP="00933701">
            <w:pPr>
              <w:spacing w:line="360" w:lineRule="auto"/>
            </w:pPr>
            <w:r w:rsidRPr="00933701">
              <w:t>CGCCATGGCCAGTTATTGAC</w:t>
            </w:r>
          </w:p>
        </w:tc>
      </w:tr>
      <w:tr w:rsidR="00933701" w:rsidRPr="00352A00" w14:paraId="5F83EC21" w14:textId="77777777" w:rsidTr="00FF1DE1">
        <w:trPr>
          <w:jc w:val="center"/>
        </w:trPr>
        <w:tc>
          <w:tcPr>
            <w:tcW w:w="1134" w:type="dxa"/>
            <w:vAlign w:val="center"/>
          </w:tcPr>
          <w:p w14:paraId="5376D674" w14:textId="74E9FC5C" w:rsidR="00933701" w:rsidRDefault="00933701" w:rsidP="00352A00">
            <w:pPr>
              <w:spacing w:line="360" w:lineRule="auto"/>
            </w:pPr>
            <w:r>
              <w:t>0191</w:t>
            </w:r>
          </w:p>
        </w:tc>
        <w:tc>
          <w:tcPr>
            <w:tcW w:w="7521" w:type="dxa"/>
            <w:vAlign w:val="center"/>
          </w:tcPr>
          <w:p w14:paraId="110DF530" w14:textId="3EEAB537" w:rsidR="00933701" w:rsidRPr="00E81845" w:rsidRDefault="00933701" w:rsidP="00352A00">
            <w:pPr>
              <w:spacing w:line="360" w:lineRule="auto"/>
            </w:pPr>
            <w:r w:rsidRPr="00933701">
              <w:t>CAAGGCAATTGTCGAATATGCC</w:t>
            </w:r>
          </w:p>
        </w:tc>
      </w:tr>
      <w:tr w:rsidR="00933701" w:rsidRPr="00352A00" w14:paraId="28A029E1" w14:textId="77777777" w:rsidTr="00FF1DE1">
        <w:trPr>
          <w:jc w:val="center"/>
        </w:trPr>
        <w:tc>
          <w:tcPr>
            <w:tcW w:w="1134" w:type="dxa"/>
            <w:vAlign w:val="center"/>
          </w:tcPr>
          <w:p w14:paraId="5E4D665A" w14:textId="3A8CB8FD" w:rsidR="00933701" w:rsidRDefault="00FF1DE1" w:rsidP="00352A00">
            <w:pPr>
              <w:spacing w:line="360" w:lineRule="auto"/>
            </w:pPr>
            <w:r>
              <w:t>0052</w:t>
            </w:r>
          </w:p>
        </w:tc>
        <w:tc>
          <w:tcPr>
            <w:tcW w:w="7521" w:type="dxa"/>
            <w:vAlign w:val="center"/>
          </w:tcPr>
          <w:p w14:paraId="5A5C7923" w14:textId="2F66A518" w:rsidR="00933701" w:rsidRPr="00933701" w:rsidRDefault="00FF1DE1" w:rsidP="00352A00">
            <w:pPr>
              <w:spacing w:line="360" w:lineRule="auto"/>
            </w:pPr>
            <w:r w:rsidRPr="00FF1DE1">
              <w:t>GGGGACAAGTTTGTACAAAAAAGCAGGCTC</w:t>
            </w:r>
            <w:r w:rsidR="002B51C9">
              <w:t>A</w:t>
            </w:r>
            <w:r w:rsidRPr="00FF1DE1">
              <w:t>ATGGCAACTGCAAAGTTTCTTTC</w:t>
            </w:r>
          </w:p>
        </w:tc>
      </w:tr>
      <w:tr w:rsidR="00FF1DE1" w:rsidRPr="00352A00" w14:paraId="5B734D96" w14:textId="77777777" w:rsidTr="00FF1DE1">
        <w:trPr>
          <w:jc w:val="center"/>
        </w:trPr>
        <w:tc>
          <w:tcPr>
            <w:tcW w:w="1134" w:type="dxa"/>
            <w:vAlign w:val="center"/>
          </w:tcPr>
          <w:p w14:paraId="12809434" w14:textId="2DC0EDE0" w:rsidR="00FF1DE1" w:rsidRDefault="00B263E8" w:rsidP="00352A00">
            <w:pPr>
              <w:spacing w:line="360" w:lineRule="auto"/>
            </w:pPr>
            <w:r>
              <w:t>0268</w:t>
            </w:r>
          </w:p>
        </w:tc>
        <w:tc>
          <w:tcPr>
            <w:tcW w:w="7521" w:type="dxa"/>
            <w:vAlign w:val="center"/>
          </w:tcPr>
          <w:p w14:paraId="69C23B8C" w14:textId="738B77D1" w:rsidR="00FF1DE1" w:rsidRPr="00FF1DE1" w:rsidRDefault="00B263E8" w:rsidP="00352A00">
            <w:pPr>
              <w:spacing w:line="360" w:lineRule="auto"/>
            </w:pPr>
            <w:r w:rsidRPr="00B263E8">
              <w:t>GGGGACCACTTTGTACAAGAAAGCTGGGT</w:t>
            </w:r>
            <w:r>
              <w:t>G</w:t>
            </w:r>
            <w:r w:rsidRPr="00B263E8">
              <w:t>CTCAACAGTTATG</w:t>
            </w:r>
            <w:r>
              <w:t>C</w:t>
            </w:r>
            <w:r w:rsidRPr="00B263E8">
              <w:t>CTCCAATC</w:t>
            </w:r>
          </w:p>
        </w:tc>
      </w:tr>
      <w:tr w:rsidR="003151A1" w:rsidRPr="00352A00" w14:paraId="6721BBA3" w14:textId="77777777" w:rsidTr="00FF1DE1">
        <w:trPr>
          <w:jc w:val="center"/>
        </w:trPr>
        <w:tc>
          <w:tcPr>
            <w:tcW w:w="1134" w:type="dxa"/>
            <w:vAlign w:val="center"/>
          </w:tcPr>
          <w:p w14:paraId="732BF675" w14:textId="5F8A37F9" w:rsidR="003151A1" w:rsidRDefault="0045019D" w:rsidP="00352A00">
            <w:pPr>
              <w:spacing w:line="360" w:lineRule="auto"/>
            </w:pPr>
            <w:r>
              <w:t>0267</w:t>
            </w:r>
          </w:p>
        </w:tc>
        <w:tc>
          <w:tcPr>
            <w:tcW w:w="7521" w:type="dxa"/>
            <w:vAlign w:val="center"/>
          </w:tcPr>
          <w:p w14:paraId="789AD672" w14:textId="5FB23F57" w:rsidR="003151A1" w:rsidRPr="00B263E8" w:rsidRDefault="0045019D" w:rsidP="00352A00">
            <w:pPr>
              <w:spacing w:line="360" w:lineRule="auto"/>
            </w:pPr>
            <w:r w:rsidRPr="0045019D">
              <w:t>GGGGACCACTTTGTACAAGAAAGCTGGGTTCACTCAACAGTTATG</w:t>
            </w:r>
            <w:r>
              <w:t>C</w:t>
            </w:r>
            <w:r w:rsidRPr="0045019D">
              <w:t>CTCCAATC</w:t>
            </w:r>
          </w:p>
        </w:tc>
      </w:tr>
      <w:tr w:rsidR="006736CC" w:rsidRPr="00352A00" w14:paraId="0C274602" w14:textId="77777777" w:rsidTr="00FF1DE1">
        <w:trPr>
          <w:jc w:val="center"/>
        </w:trPr>
        <w:tc>
          <w:tcPr>
            <w:tcW w:w="1134" w:type="dxa"/>
            <w:vAlign w:val="center"/>
          </w:tcPr>
          <w:p w14:paraId="15E4A7B8" w14:textId="1550C69F" w:rsidR="006736CC" w:rsidRDefault="006736CC" w:rsidP="00352A00">
            <w:pPr>
              <w:spacing w:line="360" w:lineRule="auto"/>
            </w:pPr>
            <w:r>
              <w:t>1099</w:t>
            </w:r>
          </w:p>
        </w:tc>
        <w:tc>
          <w:tcPr>
            <w:tcW w:w="7521" w:type="dxa"/>
            <w:vAlign w:val="center"/>
          </w:tcPr>
          <w:p w14:paraId="0002F2BF" w14:textId="3B1FFFE4" w:rsidR="006736CC" w:rsidRPr="0045019D" w:rsidRDefault="006736CC" w:rsidP="00352A00">
            <w:pPr>
              <w:spacing w:line="360" w:lineRule="auto"/>
            </w:pPr>
            <w:proofErr w:type="spellStart"/>
            <w:r w:rsidRPr="006736CC">
              <w:t>caaatacacacactaatctagaATGGCAACTGCAAAGTTTCTTTC</w:t>
            </w:r>
            <w:proofErr w:type="spellEnd"/>
          </w:p>
        </w:tc>
      </w:tr>
      <w:tr w:rsidR="006736CC" w:rsidRPr="00352A00" w14:paraId="4D740663" w14:textId="77777777" w:rsidTr="00FF1DE1">
        <w:trPr>
          <w:jc w:val="center"/>
        </w:trPr>
        <w:tc>
          <w:tcPr>
            <w:tcW w:w="1134" w:type="dxa"/>
            <w:vAlign w:val="center"/>
          </w:tcPr>
          <w:p w14:paraId="551600C4" w14:textId="53646CB2" w:rsidR="006736CC" w:rsidRDefault="002E17BF" w:rsidP="00352A00">
            <w:pPr>
              <w:spacing w:line="360" w:lineRule="auto"/>
            </w:pPr>
            <w:r>
              <w:t>1072</w:t>
            </w:r>
          </w:p>
        </w:tc>
        <w:tc>
          <w:tcPr>
            <w:tcW w:w="7521" w:type="dxa"/>
            <w:vAlign w:val="center"/>
          </w:tcPr>
          <w:p w14:paraId="48284F39" w14:textId="351DDA04" w:rsidR="006736CC" w:rsidRPr="0045019D" w:rsidRDefault="002E17BF" w:rsidP="00352A00">
            <w:pPr>
              <w:spacing w:line="360" w:lineRule="auto"/>
            </w:pPr>
            <w:proofErr w:type="spellStart"/>
            <w:r w:rsidRPr="002E17BF">
              <w:t>gtcgacggtatcgataagctCTCAACAGTTATGCCTCCAATC</w:t>
            </w:r>
            <w:proofErr w:type="spellEnd"/>
          </w:p>
        </w:tc>
      </w:tr>
      <w:tr w:rsidR="006736CC" w:rsidRPr="00352A00" w14:paraId="4CA53778" w14:textId="77777777" w:rsidTr="00FF1DE1">
        <w:trPr>
          <w:jc w:val="center"/>
        </w:trPr>
        <w:tc>
          <w:tcPr>
            <w:tcW w:w="1134" w:type="dxa"/>
            <w:vAlign w:val="center"/>
          </w:tcPr>
          <w:p w14:paraId="349AED41" w14:textId="16B50DC6" w:rsidR="006736CC" w:rsidRDefault="00D62FC7" w:rsidP="00352A00">
            <w:pPr>
              <w:spacing w:line="360" w:lineRule="auto"/>
            </w:pPr>
            <w:r>
              <w:t>1075</w:t>
            </w:r>
          </w:p>
        </w:tc>
        <w:tc>
          <w:tcPr>
            <w:tcW w:w="7521" w:type="dxa"/>
            <w:vAlign w:val="center"/>
          </w:tcPr>
          <w:p w14:paraId="368CA510" w14:textId="2C09671A" w:rsidR="006736CC" w:rsidRPr="0045019D" w:rsidRDefault="00D62FC7" w:rsidP="00352A00">
            <w:pPr>
              <w:spacing w:line="360" w:lineRule="auto"/>
            </w:pPr>
            <w:proofErr w:type="spellStart"/>
            <w:r w:rsidRPr="00D62FC7">
              <w:t>gttccagattacgctggatccATGTCTCAGACTGTCGTTCTC</w:t>
            </w:r>
            <w:proofErr w:type="spellEnd"/>
          </w:p>
        </w:tc>
      </w:tr>
      <w:tr w:rsidR="00BF3EB6" w:rsidRPr="00352A00" w14:paraId="7E51C93F" w14:textId="77777777" w:rsidTr="00FF1DE1">
        <w:trPr>
          <w:jc w:val="center"/>
        </w:trPr>
        <w:tc>
          <w:tcPr>
            <w:tcW w:w="1134" w:type="dxa"/>
            <w:vAlign w:val="center"/>
          </w:tcPr>
          <w:p w14:paraId="211A46F7" w14:textId="596E7C89" w:rsidR="00BF3EB6" w:rsidRDefault="00BF3EB6" w:rsidP="00352A00">
            <w:pPr>
              <w:spacing w:line="360" w:lineRule="auto"/>
            </w:pPr>
            <w:r>
              <w:t>1076</w:t>
            </w:r>
          </w:p>
        </w:tc>
        <w:tc>
          <w:tcPr>
            <w:tcW w:w="7521" w:type="dxa"/>
            <w:vAlign w:val="center"/>
          </w:tcPr>
          <w:p w14:paraId="08213DF0" w14:textId="7711AB87" w:rsidR="00BF3EB6" w:rsidRPr="00D62FC7" w:rsidRDefault="00BF3EB6" w:rsidP="00352A00">
            <w:pPr>
              <w:spacing w:line="360" w:lineRule="auto"/>
            </w:pPr>
            <w:proofErr w:type="spellStart"/>
            <w:r w:rsidRPr="00BF3EB6">
              <w:t>gataagcttgatatcgaattctcaAGCTGTACCAGCCGTTTCTCCT</w:t>
            </w:r>
            <w:proofErr w:type="spellEnd"/>
          </w:p>
        </w:tc>
      </w:tr>
      <w:tr w:rsidR="00BF3EB6" w:rsidRPr="00352A00" w14:paraId="5A890B82" w14:textId="77777777" w:rsidTr="00FF1DE1">
        <w:trPr>
          <w:jc w:val="center"/>
        </w:trPr>
        <w:tc>
          <w:tcPr>
            <w:tcW w:w="1134" w:type="dxa"/>
            <w:vAlign w:val="center"/>
          </w:tcPr>
          <w:p w14:paraId="56D64C98" w14:textId="015437B6" w:rsidR="00BF3EB6" w:rsidRDefault="00C73248" w:rsidP="00352A00">
            <w:pPr>
              <w:spacing w:line="360" w:lineRule="auto"/>
            </w:pPr>
            <w:r>
              <w:t>1077</w:t>
            </w:r>
          </w:p>
        </w:tc>
        <w:tc>
          <w:tcPr>
            <w:tcW w:w="7521" w:type="dxa"/>
            <w:vAlign w:val="center"/>
          </w:tcPr>
          <w:p w14:paraId="76454586" w14:textId="6CEB25AB" w:rsidR="00BF3EB6" w:rsidRPr="00D62FC7" w:rsidRDefault="00C73248" w:rsidP="00352A00">
            <w:pPr>
              <w:spacing w:line="360" w:lineRule="auto"/>
            </w:pPr>
            <w:proofErr w:type="spellStart"/>
            <w:r w:rsidRPr="00C73248">
              <w:t>gttccagattacgctggatccATGTCTCAGACAGTTGTTCTC</w:t>
            </w:r>
            <w:proofErr w:type="spellEnd"/>
          </w:p>
        </w:tc>
      </w:tr>
      <w:tr w:rsidR="00BF3EB6" w:rsidRPr="00352A00" w14:paraId="21DFBD99" w14:textId="77777777" w:rsidTr="00FF1DE1">
        <w:trPr>
          <w:jc w:val="center"/>
        </w:trPr>
        <w:tc>
          <w:tcPr>
            <w:tcW w:w="1134" w:type="dxa"/>
            <w:vAlign w:val="center"/>
          </w:tcPr>
          <w:p w14:paraId="5DD4819B" w14:textId="1ED9CA4D" w:rsidR="00BF3EB6" w:rsidRDefault="008B512C" w:rsidP="00352A00">
            <w:pPr>
              <w:spacing w:line="360" w:lineRule="auto"/>
            </w:pPr>
            <w:r>
              <w:t>1078</w:t>
            </w:r>
          </w:p>
        </w:tc>
        <w:tc>
          <w:tcPr>
            <w:tcW w:w="7521" w:type="dxa"/>
            <w:vAlign w:val="center"/>
          </w:tcPr>
          <w:p w14:paraId="3C7CFC16" w14:textId="3C829985" w:rsidR="00BF3EB6" w:rsidRPr="00D62FC7" w:rsidRDefault="008B512C" w:rsidP="00352A00">
            <w:pPr>
              <w:spacing w:line="360" w:lineRule="auto"/>
            </w:pPr>
            <w:proofErr w:type="spellStart"/>
            <w:r w:rsidRPr="008B512C">
              <w:t>gataagcttgatatcgaattcttaAGCTGCAACAACAGCTTCTG</w:t>
            </w:r>
            <w:proofErr w:type="spellEnd"/>
          </w:p>
        </w:tc>
      </w:tr>
      <w:tr w:rsidR="001B57E8" w:rsidRPr="00352A00" w14:paraId="699D06AC" w14:textId="77777777" w:rsidTr="00FF1DE1">
        <w:trPr>
          <w:jc w:val="center"/>
        </w:trPr>
        <w:tc>
          <w:tcPr>
            <w:tcW w:w="1134" w:type="dxa"/>
            <w:vAlign w:val="center"/>
          </w:tcPr>
          <w:p w14:paraId="4B23CB09" w14:textId="5D587674" w:rsidR="001B57E8" w:rsidRDefault="001B57E8" w:rsidP="00352A00">
            <w:pPr>
              <w:spacing w:line="360" w:lineRule="auto"/>
            </w:pPr>
            <w:r>
              <w:t>1011</w:t>
            </w:r>
          </w:p>
        </w:tc>
        <w:tc>
          <w:tcPr>
            <w:tcW w:w="7521" w:type="dxa"/>
            <w:vAlign w:val="center"/>
          </w:tcPr>
          <w:p w14:paraId="3730E3B9" w14:textId="2164F51D" w:rsidR="001B57E8" w:rsidRPr="008B512C" w:rsidRDefault="001B57E8" w:rsidP="00352A00">
            <w:pPr>
              <w:spacing w:line="360" w:lineRule="auto"/>
            </w:pPr>
            <w:proofErr w:type="spellStart"/>
            <w:r w:rsidRPr="001B57E8">
              <w:t>gtacccggggatcctctagaATGGCAACTGCAAAGTTTCTTTC</w:t>
            </w:r>
            <w:proofErr w:type="spellEnd"/>
          </w:p>
        </w:tc>
      </w:tr>
      <w:tr w:rsidR="001B57E8" w:rsidRPr="00352A00" w14:paraId="1D4D4F54" w14:textId="77777777" w:rsidTr="00FF1DE1">
        <w:trPr>
          <w:jc w:val="center"/>
        </w:trPr>
        <w:tc>
          <w:tcPr>
            <w:tcW w:w="1134" w:type="dxa"/>
            <w:vAlign w:val="center"/>
          </w:tcPr>
          <w:p w14:paraId="5991B4B5" w14:textId="2503AEBF" w:rsidR="001B57E8" w:rsidRDefault="0010360A" w:rsidP="00352A00">
            <w:pPr>
              <w:spacing w:line="360" w:lineRule="auto"/>
            </w:pPr>
            <w:r>
              <w:t>1087</w:t>
            </w:r>
          </w:p>
        </w:tc>
        <w:tc>
          <w:tcPr>
            <w:tcW w:w="7521" w:type="dxa"/>
            <w:vAlign w:val="center"/>
          </w:tcPr>
          <w:p w14:paraId="45CE7AE4" w14:textId="225ABC1C" w:rsidR="001B57E8" w:rsidRPr="008B512C" w:rsidRDefault="0010360A" w:rsidP="00352A00">
            <w:pPr>
              <w:spacing w:line="360" w:lineRule="auto"/>
            </w:pPr>
            <w:proofErr w:type="spellStart"/>
            <w:r w:rsidRPr="0010360A">
              <w:t>GCCACCGCCGTCGACTCTAGACTCAACAGTTATGcCTCCAATC</w:t>
            </w:r>
            <w:proofErr w:type="spellEnd"/>
          </w:p>
        </w:tc>
      </w:tr>
      <w:tr w:rsidR="001B57E8" w:rsidRPr="00352A00" w14:paraId="65AF287B" w14:textId="77777777" w:rsidTr="00FF1DE1">
        <w:trPr>
          <w:jc w:val="center"/>
        </w:trPr>
        <w:tc>
          <w:tcPr>
            <w:tcW w:w="1134" w:type="dxa"/>
            <w:vAlign w:val="center"/>
          </w:tcPr>
          <w:p w14:paraId="041FD113" w14:textId="2C0256AF" w:rsidR="001B57E8" w:rsidRDefault="000766E5" w:rsidP="00352A00">
            <w:pPr>
              <w:spacing w:line="360" w:lineRule="auto"/>
            </w:pPr>
            <w:r>
              <w:t>1088</w:t>
            </w:r>
          </w:p>
        </w:tc>
        <w:tc>
          <w:tcPr>
            <w:tcW w:w="7521" w:type="dxa"/>
            <w:vAlign w:val="center"/>
          </w:tcPr>
          <w:p w14:paraId="53A46B24" w14:textId="4F833528" w:rsidR="001B57E8" w:rsidRPr="008B512C" w:rsidRDefault="005329E2" w:rsidP="00352A00">
            <w:pPr>
              <w:spacing w:line="360" w:lineRule="auto"/>
            </w:pPr>
            <w:r w:rsidRPr="005329E2">
              <w:t>ATCGAGGACGCCGGCGGATCCATGTCTCAGACTGTCGTTCTC</w:t>
            </w:r>
          </w:p>
        </w:tc>
      </w:tr>
      <w:tr w:rsidR="001B57E8" w:rsidRPr="00352A00" w14:paraId="7B80155E" w14:textId="77777777" w:rsidTr="00FF1DE1">
        <w:trPr>
          <w:jc w:val="center"/>
        </w:trPr>
        <w:tc>
          <w:tcPr>
            <w:tcW w:w="1134" w:type="dxa"/>
            <w:vAlign w:val="center"/>
          </w:tcPr>
          <w:p w14:paraId="1FB195C8" w14:textId="09A4EE3C" w:rsidR="001B57E8" w:rsidRDefault="000766E5" w:rsidP="00352A00">
            <w:pPr>
              <w:spacing w:line="360" w:lineRule="auto"/>
            </w:pPr>
            <w:r>
              <w:t>1102</w:t>
            </w:r>
          </w:p>
        </w:tc>
        <w:tc>
          <w:tcPr>
            <w:tcW w:w="7521" w:type="dxa"/>
            <w:vAlign w:val="center"/>
          </w:tcPr>
          <w:p w14:paraId="7ACBE794" w14:textId="0BB6BBDB" w:rsidR="001B57E8" w:rsidRPr="008B512C" w:rsidRDefault="005329E2" w:rsidP="00352A00">
            <w:pPr>
              <w:spacing w:line="360" w:lineRule="auto"/>
            </w:pPr>
            <w:proofErr w:type="spellStart"/>
            <w:r w:rsidRPr="005329E2">
              <w:t>caggtcgactctagaggatccTCAAGCTGTACCAGCCGTTTCTC</w:t>
            </w:r>
            <w:proofErr w:type="spellEnd"/>
          </w:p>
        </w:tc>
      </w:tr>
      <w:tr w:rsidR="001B57E8" w:rsidRPr="00352A00" w14:paraId="1AE0388E" w14:textId="77777777" w:rsidTr="009E795A">
        <w:trPr>
          <w:jc w:val="center"/>
        </w:trPr>
        <w:tc>
          <w:tcPr>
            <w:tcW w:w="1134" w:type="dxa"/>
            <w:vAlign w:val="center"/>
          </w:tcPr>
          <w:p w14:paraId="5791B88C" w14:textId="7C7C205F" w:rsidR="001B57E8" w:rsidRDefault="00971AC8" w:rsidP="00352A00">
            <w:pPr>
              <w:spacing w:line="360" w:lineRule="auto"/>
            </w:pPr>
            <w:r>
              <w:t>1090</w:t>
            </w:r>
          </w:p>
        </w:tc>
        <w:tc>
          <w:tcPr>
            <w:tcW w:w="7521" w:type="dxa"/>
            <w:vAlign w:val="center"/>
          </w:tcPr>
          <w:p w14:paraId="0C61B16C" w14:textId="2806075A" w:rsidR="001B57E8" w:rsidRPr="008B512C" w:rsidRDefault="00971AC8" w:rsidP="00352A00">
            <w:pPr>
              <w:spacing w:line="360" w:lineRule="auto"/>
            </w:pPr>
            <w:proofErr w:type="spellStart"/>
            <w:r w:rsidRPr="00971AC8">
              <w:t>atcgaggacgccggcggatccATGTCTCAGACAGTTGTTCTC</w:t>
            </w:r>
            <w:proofErr w:type="spellEnd"/>
          </w:p>
        </w:tc>
      </w:tr>
      <w:tr w:rsidR="001B57E8" w:rsidRPr="00352A00" w14:paraId="64CE5F32" w14:textId="77777777" w:rsidTr="009E795A">
        <w:trPr>
          <w:jc w:val="center"/>
        </w:trPr>
        <w:tc>
          <w:tcPr>
            <w:tcW w:w="1134" w:type="dxa"/>
            <w:tcBorders>
              <w:bottom w:val="single" w:sz="4" w:space="0" w:color="auto"/>
            </w:tcBorders>
            <w:vAlign w:val="center"/>
          </w:tcPr>
          <w:p w14:paraId="62035214" w14:textId="4743D407" w:rsidR="001B57E8" w:rsidRDefault="00971AC8" w:rsidP="00352A00">
            <w:pPr>
              <w:spacing w:line="360" w:lineRule="auto"/>
            </w:pPr>
            <w:r>
              <w:t>1103</w:t>
            </w:r>
          </w:p>
        </w:tc>
        <w:tc>
          <w:tcPr>
            <w:tcW w:w="7521" w:type="dxa"/>
            <w:tcBorders>
              <w:bottom w:val="single" w:sz="4" w:space="0" w:color="auto"/>
            </w:tcBorders>
            <w:vAlign w:val="center"/>
          </w:tcPr>
          <w:p w14:paraId="3470C1FA" w14:textId="4BD8CC83" w:rsidR="001B57E8" w:rsidRPr="008B512C" w:rsidRDefault="00971AC8" w:rsidP="00352A00">
            <w:pPr>
              <w:spacing w:line="360" w:lineRule="auto"/>
            </w:pPr>
            <w:proofErr w:type="spellStart"/>
            <w:r w:rsidRPr="00971AC8">
              <w:t>caggtcgactctagaggatccTTAAGCTGCAACAACAGCTTCTG</w:t>
            </w:r>
            <w:proofErr w:type="spellEnd"/>
          </w:p>
        </w:tc>
      </w:tr>
    </w:tbl>
    <w:p w14:paraId="2D0279E9" w14:textId="77777777" w:rsidR="00D450F4" w:rsidRPr="00352A00" w:rsidRDefault="00D450F4" w:rsidP="00992DE4">
      <w:pPr>
        <w:spacing w:line="360" w:lineRule="auto"/>
      </w:pPr>
    </w:p>
    <w:sectPr w:rsidR="00D450F4" w:rsidRPr="00352A00" w:rsidSect="00F308B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BB"/>
    <w:rsid w:val="0000055B"/>
    <w:rsid w:val="000073F8"/>
    <w:rsid w:val="000304E8"/>
    <w:rsid w:val="00030C8C"/>
    <w:rsid w:val="00041F8E"/>
    <w:rsid w:val="000429F9"/>
    <w:rsid w:val="0004389D"/>
    <w:rsid w:val="00045645"/>
    <w:rsid w:val="00047A1F"/>
    <w:rsid w:val="0005066A"/>
    <w:rsid w:val="00073144"/>
    <w:rsid w:val="000766E5"/>
    <w:rsid w:val="000A24A1"/>
    <w:rsid w:val="000A6041"/>
    <w:rsid w:val="000C0FCE"/>
    <w:rsid w:val="000C2A9C"/>
    <w:rsid w:val="000D2F26"/>
    <w:rsid w:val="000F0113"/>
    <w:rsid w:val="000F4932"/>
    <w:rsid w:val="0010360A"/>
    <w:rsid w:val="001872C9"/>
    <w:rsid w:val="001B04A6"/>
    <w:rsid w:val="001B57E8"/>
    <w:rsid w:val="001C098B"/>
    <w:rsid w:val="001C25B3"/>
    <w:rsid w:val="001C6645"/>
    <w:rsid w:val="001C7E4E"/>
    <w:rsid w:val="001F4576"/>
    <w:rsid w:val="00207890"/>
    <w:rsid w:val="00214796"/>
    <w:rsid w:val="0027397A"/>
    <w:rsid w:val="00286D6D"/>
    <w:rsid w:val="002B3B92"/>
    <w:rsid w:val="002B51C9"/>
    <w:rsid w:val="002D746E"/>
    <w:rsid w:val="002D7602"/>
    <w:rsid w:val="002E17BF"/>
    <w:rsid w:val="002E3222"/>
    <w:rsid w:val="002F61C1"/>
    <w:rsid w:val="003151A1"/>
    <w:rsid w:val="00341896"/>
    <w:rsid w:val="003520D2"/>
    <w:rsid w:val="00352A00"/>
    <w:rsid w:val="00354354"/>
    <w:rsid w:val="0038099E"/>
    <w:rsid w:val="003A4CD6"/>
    <w:rsid w:val="003B51E8"/>
    <w:rsid w:val="003E504A"/>
    <w:rsid w:val="003F1006"/>
    <w:rsid w:val="003F74F0"/>
    <w:rsid w:val="00401B43"/>
    <w:rsid w:val="00417DEE"/>
    <w:rsid w:val="00433C1E"/>
    <w:rsid w:val="00436C15"/>
    <w:rsid w:val="0045019D"/>
    <w:rsid w:val="0045138F"/>
    <w:rsid w:val="00465CFA"/>
    <w:rsid w:val="00486C35"/>
    <w:rsid w:val="004C2E8E"/>
    <w:rsid w:val="004D7CBF"/>
    <w:rsid w:val="00530CA3"/>
    <w:rsid w:val="005329E2"/>
    <w:rsid w:val="005429CF"/>
    <w:rsid w:val="005619B3"/>
    <w:rsid w:val="0057033B"/>
    <w:rsid w:val="005B78DA"/>
    <w:rsid w:val="005E650A"/>
    <w:rsid w:val="005F44B8"/>
    <w:rsid w:val="00650ACE"/>
    <w:rsid w:val="006736CC"/>
    <w:rsid w:val="0067374D"/>
    <w:rsid w:val="0068599F"/>
    <w:rsid w:val="00694F5E"/>
    <w:rsid w:val="006A0B79"/>
    <w:rsid w:val="006A389B"/>
    <w:rsid w:val="006B5FDC"/>
    <w:rsid w:val="006D5B12"/>
    <w:rsid w:val="0071673B"/>
    <w:rsid w:val="0073314E"/>
    <w:rsid w:val="00740FA7"/>
    <w:rsid w:val="00785060"/>
    <w:rsid w:val="007A11F3"/>
    <w:rsid w:val="007D3DED"/>
    <w:rsid w:val="007D4F3A"/>
    <w:rsid w:val="007E3C7D"/>
    <w:rsid w:val="007F7455"/>
    <w:rsid w:val="007F78D2"/>
    <w:rsid w:val="008155F9"/>
    <w:rsid w:val="00847205"/>
    <w:rsid w:val="00864499"/>
    <w:rsid w:val="00871E75"/>
    <w:rsid w:val="00885732"/>
    <w:rsid w:val="00886C23"/>
    <w:rsid w:val="008959FC"/>
    <w:rsid w:val="008B512C"/>
    <w:rsid w:val="00920F95"/>
    <w:rsid w:val="00933701"/>
    <w:rsid w:val="00941307"/>
    <w:rsid w:val="00950B0C"/>
    <w:rsid w:val="00971AC8"/>
    <w:rsid w:val="00992C6E"/>
    <w:rsid w:val="00992DE4"/>
    <w:rsid w:val="00997CA1"/>
    <w:rsid w:val="009B2234"/>
    <w:rsid w:val="009B2498"/>
    <w:rsid w:val="009C0E4F"/>
    <w:rsid w:val="009E795A"/>
    <w:rsid w:val="00A11A4E"/>
    <w:rsid w:val="00A20B23"/>
    <w:rsid w:val="00A67BDE"/>
    <w:rsid w:val="00AE6B23"/>
    <w:rsid w:val="00AF5026"/>
    <w:rsid w:val="00AF77C9"/>
    <w:rsid w:val="00B263E8"/>
    <w:rsid w:val="00B27F11"/>
    <w:rsid w:val="00B71661"/>
    <w:rsid w:val="00B8637C"/>
    <w:rsid w:val="00B93615"/>
    <w:rsid w:val="00BB41FA"/>
    <w:rsid w:val="00BC1799"/>
    <w:rsid w:val="00BE0471"/>
    <w:rsid w:val="00BF3EB6"/>
    <w:rsid w:val="00C73248"/>
    <w:rsid w:val="00C86A90"/>
    <w:rsid w:val="00C90858"/>
    <w:rsid w:val="00C93462"/>
    <w:rsid w:val="00C965B1"/>
    <w:rsid w:val="00D112C8"/>
    <w:rsid w:val="00D302B2"/>
    <w:rsid w:val="00D450F4"/>
    <w:rsid w:val="00D45A70"/>
    <w:rsid w:val="00D62FC7"/>
    <w:rsid w:val="00D86C7A"/>
    <w:rsid w:val="00DB113C"/>
    <w:rsid w:val="00DB73C0"/>
    <w:rsid w:val="00DD0F6C"/>
    <w:rsid w:val="00DD1B36"/>
    <w:rsid w:val="00E224AE"/>
    <w:rsid w:val="00E33B87"/>
    <w:rsid w:val="00E756E3"/>
    <w:rsid w:val="00E81845"/>
    <w:rsid w:val="00EA2102"/>
    <w:rsid w:val="00EC61DD"/>
    <w:rsid w:val="00ED4E54"/>
    <w:rsid w:val="00EE10FA"/>
    <w:rsid w:val="00F26B58"/>
    <w:rsid w:val="00F308BB"/>
    <w:rsid w:val="00F910D0"/>
    <w:rsid w:val="00FA253D"/>
    <w:rsid w:val="00FC40AC"/>
    <w:rsid w:val="00FD250A"/>
    <w:rsid w:val="00FD6270"/>
    <w:rsid w:val="00FF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F8DD"/>
  <w15:chartTrackingRefBased/>
  <w15:docId w15:val="{931A8692-3AC5-6243-8494-46BCB49D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08BB"/>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308BB"/>
  </w:style>
  <w:style w:type="table" w:styleId="TableGrid">
    <w:name w:val="Table Grid"/>
    <w:basedOn w:val="TableNormal"/>
    <w:uiPriority w:val="39"/>
    <w:rsid w:val="00D450F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54742">
      <w:bodyDiv w:val="1"/>
      <w:marLeft w:val="0"/>
      <w:marRight w:val="0"/>
      <w:marTop w:val="0"/>
      <w:marBottom w:val="0"/>
      <w:divBdr>
        <w:top w:val="none" w:sz="0" w:space="0" w:color="auto"/>
        <w:left w:val="none" w:sz="0" w:space="0" w:color="auto"/>
        <w:bottom w:val="none" w:sz="0" w:space="0" w:color="auto"/>
        <w:right w:val="none" w:sz="0" w:space="0" w:color="auto"/>
      </w:divBdr>
    </w:div>
    <w:div w:id="1243444004">
      <w:bodyDiv w:val="1"/>
      <w:marLeft w:val="0"/>
      <w:marRight w:val="0"/>
      <w:marTop w:val="0"/>
      <w:marBottom w:val="0"/>
      <w:divBdr>
        <w:top w:val="none" w:sz="0" w:space="0" w:color="auto"/>
        <w:left w:val="none" w:sz="0" w:space="0" w:color="auto"/>
        <w:bottom w:val="none" w:sz="0" w:space="0" w:color="auto"/>
        <w:right w:val="none" w:sz="0" w:space="0" w:color="auto"/>
      </w:divBdr>
    </w:div>
    <w:div w:id="1656303654">
      <w:bodyDiv w:val="1"/>
      <w:marLeft w:val="0"/>
      <w:marRight w:val="0"/>
      <w:marTop w:val="0"/>
      <w:marBottom w:val="0"/>
      <w:divBdr>
        <w:top w:val="none" w:sz="0" w:space="0" w:color="auto"/>
        <w:left w:val="none" w:sz="0" w:space="0" w:color="auto"/>
        <w:bottom w:val="none" w:sz="0" w:space="0" w:color="auto"/>
        <w:right w:val="none" w:sz="0" w:space="0" w:color="auto"/>
      </w:divBdr>
    </w:div>
    <w:div w:id="17054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241B0-E496-BA41-8F07-4DF014C74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Li</dc:creator>
  <cp:keywords/>
  <dc:description/>
  <cp:lastModifiedBy>Y Li</cp:lastModifiedBy>
  <cp:revision>131</cp:revision>
  <cp:lastPrinted>2024-08-15T13:14:00Z</cp:lastPrinted>
  <dcterms:created xsi:type="dcterms:W3CDTF">2024-08-15T12:55:00Z</dcterms:created>
  <dcterms:modified xsi:type="dcterms:W3CDTF">2024-08-19T07:33:00Z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https://csl.mendeley.com/styles/541534671/china-national-standard-gb-t-7714-2015-numeric</vt:lpwstr>
  </property>
  <property fmtid="{D5CDD505-2E9C-101B-9397-08002B2CF9AE}" pid="7" name="Mendeley Recent Style Name 2_1">
    <vt:lpwstr>China National Standard GB/T 7714-2015 (numeric, 中文) - Y Li</vt:lpwstr>
  </property>
  <property fmtid="{D5CDD505-2E9C-101B-9397-08002B2CF9AE}" pid="8" name="Mendeley Recent Style Id 3_1">
    <vt:lpwstr>http://www.zotero.org/styles/frontiers-in-plant-science</vt:lpwstr>
  </property>
  <property fmtid="{D5CDD505-2E9C-101B-9397-08002B2CF9AE}" pid="9" name="Mendeley Recent Style Name 3_1">
    <vt:lpwstr>Frontiers in Plant Science</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http://www.zotero.org/styles/nature-cell-biology</vt:lpwstr>
  </property>
  <property fmtid="{D5CDD505-2E9C-101B-9397-08002B2CF9AE}" pid="13" name="Mendeley Recent Style Name 5_1">
    <vt:lpwstr>Nature Cell Biology</vt:lpwstr>
  </property>
  <property fmtid="{D5CDD505-2E9C-101B-9397-08002B2CF9AE}" pid="14" name="Mendeley Recent Style Id 6_1">
    <vt:lpwstr>http://www.zotero.org/styles/new-phytologist</vt:lpwstr>
  </property>
  <property fmtid="{D5CDD505-2E9C-101B-9397-08002B2CF9AE}" pid="15" name="Mendeley Recent Style Name 6_1">
    <vt:lpwstr>New Phytologist</vt:lpwstr>
  </property>
  <property fmtid="{D5CDD505-2E9C-101B-9397-08002B2CF9AE}" pid="16" name="Mendeley Recent Style Id 7_1">
    <vt:lpwstr>http://www.zotero.org/styles/plant-cell-reports</vt:lpwstr>
  </property>
  <property fmtid="{D5CDD505-2E9C-101B-9397-08002B2CF9AE}" pid="17" name="Mendeley Recent Style Name 7_1">
    <vt:lpwstr>Plant Cell Reports</vt:lpwstr>
  </property>
  <property fmtid="{D5CDD505-2E9C-101B-9397-08002B2CF9AE}" pid="18" name="Mendeley Recent Style Id 8_1">
    <vt:lpwstr>http://www.zotero.org/styles/plant-physiology</vt:lpwstr>
  </property>
  <property fmtid="{D5CDD505-2E9C-101B-9397-08002B2CF9AE}" pid="19" name="Mendeley Recent Style Name 8_1">
    <vt:lpwstr>Plant Physiology</vt:lpwstr>
  </property>
  <property fmtid="{D5CDD505-2E9C-101B-9397-08002B2CF9AE}" pid="20" name="Mendeley Recent Style Id 9_1">
    <vt:lpwstr>http://www.zotero.org/styles/scientia-horticulturae</vt:lpwstr>
  </property>
  <property fmtid="{D5CDD505-2E9C-101B-9397-08002B2CF9AE}" pid="21" name="Mendeley Recent Style Name 9_1">
    <vt:lpwstr>Scientia Horticulturae</vt:lpwstr>
  </property>
  <property fmtid="{D5CDD505-2E9C-101B-9397-08002B2CF9AE}" pid="22" name="Mendeley Document_1">
    <vt:lpwstr>True</vt:lpwstr>
  </property>
  <property fmtid="{D5CDD505-2E9C-101B-9397-08002B2CF9AE}" pid="23" name="Mendeley Unique User Id_1">
    <vt:lpwstr>c75d22e1-d15b-3e48-9898-a9ac1f53927b</vt:lpwstr>
  </property>
  <property fmtid="{D5CDD505-2E9C-101B-9397-08002B2CF9AE}" pid="24" name="Mendeley Citation Style_1">
    <vt:lpwstr>http://www.zotero.org/styles/scientia-horticulturae</vt:lpwstr>
  </property>
</Properties>
</file>