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56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6"/>
        <w:gridCol w:w="1696"/>
        <w:gridCol w:w="2142"/>
        <w:gridCol w:w="2077"/>
        <w:gridCol w:w="1096"/>
      </w:tblGrid>
      <w:tr w14:paraId="19FA3E5A">
        <w:trPr>
          <w:trHeight w:val="322" w:hRule="atLeast"/>
        </w:trPr>
        <w:tc>
          <w:tcPr>
            <w:tcW w:w="11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B6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S1. Baseline characteristics of participants based on training group and validation group</w:t>
            </w:r>
          </w:p>
        </w:tc>
      </w:tr>
      <w:tr w14:paraId="17D18157">
        <w:trPr>
          <w:trHeight w:val="630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38C51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Variables</w:t>
            </w:r>
            <w:r>
              <w:rPr>
                <w:rStyle w:val="4"/>
                <w:rFonts w:hint="eastAsia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</w:t>
            </w:r>
          </w:p>
        </w:tc>
        <w:tc>
          <w:tcPr>
            <w:tcW w:w="183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F7D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Overall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(n=2364)</w:t>
            </w:r>
          </w:p>
        </w:tc>
        <w:tc>
          <w:tcPr>
            <w:tcW w:w="22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B06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Validation group (n=473)</w:t>
            </w:r>
          </w:p>
        </w:tc>
        <w:tc>
          <w:tcPr>
            <w:tcW w:w="22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CB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Training group (n=1891)</w:t>
            </w:r>
          </w:p>
        </w:tc>
        <w:tc>
          <w:tcPr>
            <w:tcW w:w="102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498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Style w:val="7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</w:p>
        </w:tc>
      </w:tr>
      <w:tr w14:paraId="0B8A3600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CC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Age, year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B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70.98 (5.14)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71.08 (5.01)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5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70.95 (5.17)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5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0.631</w:t>
            </w:r>
          </w:p>
        </w:tc>
      </w:tr>
      <w:tr w14:paraId="6025C204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DB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1DC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632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993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832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24A5E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DD4E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F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 (52.5)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A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 (52.4)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 (52.5)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C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&gt;0.999</w:t>
            </w:r>
          </w:p>
        </w:tc>
      </w:tr>
      <w:tr w14:paraId="53B78D6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64415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Female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79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 (47.5)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4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 (47.6)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C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 (47.5)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34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8E6358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D7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Harmonized education levels,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507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5EA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A8B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AFC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9A441D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ED15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Less than lower secondary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D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2167 (91.7)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2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 (92.8)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3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 (91.4)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B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0.466</w:t>
            </w:r>
          </w:p>
        </w:tc>
      </w:tr>
      <w:tr w14:paraId="27A6D343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52C35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Upper secondary &amp; vocational training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4B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 (5.7)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E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 (5.8)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3A1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ACD19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7762E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Tertiary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9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 (2.7)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3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 (2.9)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B19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CD6386"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A1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Marital status,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404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883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D4F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72C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4ED74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9DD9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Married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2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1724 (72.9)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4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 (69.6)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4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 (73.8)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3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0.325</w:t>
            </w:r>
          </w:p>
        </w:tc>
      </w:tr>
      <w:tr w14:paraId="53E5EAD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F1ED9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Partnered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97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 (27.07)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E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 (30.44)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EC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 (26.23)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927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42CB3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14D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Currently working,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DAB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164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8B8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39F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31BD72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A1CF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0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 (55.5)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5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 (53.9)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D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 (55.8)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B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0.708</w:t>
            </w:r>
          </w:p>
        </w:tc>
      </w:tr>
      <w:tr w14:paraId="6CD1DE22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89C14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FC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 (42.5)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 (44.2)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C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 (42.1)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973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C1E18C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D5ED8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A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 (2.0)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5A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CE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 (2.1)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244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0404E8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208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Ever drinks before,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007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EC2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CA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F6A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5FC4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B599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A3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1455 (61.5)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B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 (62.4)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 (61.3)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D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</w:t>
            </w:r>
          </w:p>
        </w:tc>
      </w:tr>
      <w:tr w14:paraId="1105E30B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797F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BA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 (38.4)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5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 (37.6)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A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 (38.6)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804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87EDCA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4CA2A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03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E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36C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EC1F39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0D4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Smoke ever,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A99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96B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30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08E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E39F34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6711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D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 (57.8)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97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 (55.2)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 (58.5)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B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0.211</w:t>
            </w:r>
          </w:p>
        </w:tc>
      </w:tr>
      <w:tr w14:paraId="057C5DF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06793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8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 (42.2)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 (44.8)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9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 (41.5)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CF4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D785A5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EB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Smoke now,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427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B40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4CA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288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DD34C0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4BCF7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D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 (68.4)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 (66.8)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5F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 (68.9)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49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0.491</w:t>
            </w:r>
          </w:p>
        </w:tc>
      </w:tr>
      <w:tr w14:paraId="328AD478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19B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A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 (29.9)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 (31.9)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D6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 (29.5)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AFC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55D6C2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48F47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 (1.6)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 (1.3)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8C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 (1.7)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C17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E8E57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9E0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Social activities,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263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E8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EC6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D9B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4ED46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48D4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F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 (50.7)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7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 (56.4)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B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 (49.2)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6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 w14:paraId="1DC5E4DD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CBB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 (45.9)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 (40.4)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 (47.2)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148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7496FA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BF57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9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 (3.5)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25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 (3.2)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4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 (3.5)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19E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94729A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FEF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Any med for hypertention,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114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571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6D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DA8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3CA292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BD30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8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1768 (74.8)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8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 (76.1)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53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 (74.5)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B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</w:t>
            </w:r>
          </w:p>
        </w:tc>
      </w:tr>
      <w:tr w14:paraId="0CD3FBB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2EA48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6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 (25.2)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2E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 (23.9)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3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 (25.5)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E44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94CBC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617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2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6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8E1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429896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46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Any meds for lung condition,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F2B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80F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612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40A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0FB150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E8EB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7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2179 (92.2)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8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 (91.8)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2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1745 (92.3)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4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0.809</w:t>
            </w:r>
          </w:p>
        </w:tc>
      </w:tr>
      <w:tr w14:paraId="14B36140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D028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91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 (7.8)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4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 (8.2)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 (7.7)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956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97B7E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D1CE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7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7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333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642340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EFF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Any meds for heart problems,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D94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71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5B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61C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472CBF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AE2D0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1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 (89.7)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0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 (90.9)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8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 (89.4)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3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0.576</w:t>
            </w:r>
          </w:p>
        </w:tc>
      </w:tr>
      <w:tr w14:paraId="1647A8CB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1039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6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 (10.2)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 (9.1)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C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 (10.5)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18E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ABCB73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FB418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9A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7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6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FD6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F15B5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2F1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Any meds for arthritis,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FCF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12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745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7C0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ECF37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BE5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F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2062 (87.2)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 (88.6)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 (86.9)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85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0.074</w:t>
            </w:r>
          </w:p>
        </w:tc>
      </w:tr>
      <w:tr w14:paraId="71AC99DF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4215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A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 (12.7)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B0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 (11.2)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 (13.1)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9F9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007DF9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BFBD5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A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A7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8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70A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01B33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E3A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Any meds for digestive disease,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A98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BC4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DB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C3B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E24E7C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77756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D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2098 (88.7)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A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 (91.1)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C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1667 (88.2)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6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0.175</w:t>
            </w:r>
          </w:p>
        </w:tc>
      </w:tr>
      <w:tr w14:paraId="17C7C017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BD3C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7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 (11.2)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B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 (8.9)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B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 (11.8)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FD2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00E1D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146F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3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B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0A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1F3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41020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7B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149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6A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61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A65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F4D276"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B610A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  <w:t>≤</w:t>
            </w:r>
            <w:r>
              <w:rPr>
                <w:rStyle w:val="4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18.5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78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 (10.0)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 (9.7)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C9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 (10.0)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3D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</w:t>
            </w:r>
          </w:p>
        </w:tc>
      </w:tr>
      <w:tr w14:paraId="532179FE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3D9BB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18.5-23.9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01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 (39.7)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 (39.7)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 (39.7)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A62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27053"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476D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4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 (35.1)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5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 (35.5)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0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 (35.0)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B9D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95BE8C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8FA05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B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 (15.2)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3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 (15.0)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0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 (15.2)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97E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F353B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B86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Balance test summary score,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2C4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D60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58D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05C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36A51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F548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semi/yes s-b-s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EA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 (1.4)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B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 (2.3)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C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 (1.1)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0F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0.133</w:t>
            </w:r>
          </w:p>
        </w:tc>
      </w:tr>
      <w:tr w14:paraId="4F77336E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25CFC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 semi/no full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F0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 (20.5)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 (18.6)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 (20.9)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87F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8A1801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9EE0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 semi/yes full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D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 (58.4)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3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 (60.0)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5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 (58.0)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448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2A1C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1972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Missing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C3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 (19.8)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6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 (19.0)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3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 (20.0)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28C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238280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58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Walking speed test, sec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BC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 (2.33)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F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4.80 (2.40)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2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 (2.31)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53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0.267</w:t>
            </w:r>
          </w:p>
        </w:tc>
      </w:tr>
      <w:tr w14:paraId="2E88234F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BB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Grip strength, kg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9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28.24 (9.74)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27.36 (10.08)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3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28.47 (9.65)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1A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</w:t>
            </w:r>
          </w:p>
        </w:tc>
      </w:tr>
      <w:tr w14:paraId="5C8D0445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02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CESD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3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7.70 (5.90)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8.35 (6.32)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7.53 (5.78)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4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</w:tr>
      <w:tr w14:paraId="2FBFE4C2"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A67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Trajectory of multimorbidity, %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3D1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54F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3A2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4A8F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F2BCE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A5F7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multimorbidity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1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 (24.5)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4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FA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 (24.8)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35F8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0.868</w:t>
            </w:r>
          </w:p>
        </w:tc>
      </w:tr>
      <w:tr w14:paraId="01B0F423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DB0C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Newly-developing-decline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B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 (44.8)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4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 (44.6)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92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 (44.8)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11B1F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C56B4">
        <w:trPr>
          <w:trHeight w:val="30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55CA0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Moderate-developing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5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 (24.5)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 (25.8)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2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 (24.1)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7DEC4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8F976A">
        <w:trPr>
          <w:trHeight w:val="323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5A160BC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Severe-developing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540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 (6.2)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4F3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 (6.1)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723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 (6.2)</w:t>
            </w: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0760E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154C0A">
        <w:trPr>
          <w:trHeight w:val="270" w:hRule="atLeast"/>
        </w:trPr>
        <w:tc>
          <w:tcPr>
            <w:tcW w:w="1156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B3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 Mean values (SD) for continuous variables and n (%) for categorical variables.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 Categorical data were compared using the Pearson’s chi-squared test. Continuous variables were compared using the t-test.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BMI, body mass index; semi, semi-tandem test; full, full-tandem test, s-b-s: side-by-side test; CES-D, Center for Epidemiological Studies Depression  </w:t>
            </w:r>
          </w:p>
        </w:tc>
      </w:tr>
      <w:tr w14:paraId="1ADDCF3D">
        <w:trPr>
          <w:trHeight w:val="270" w:hRule="atLeast"/>
        </w:trPr>
        <w:tc>
          <w:tcPr>
            <w:tcW w:w="1156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EC88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D55FB">
        <w:trPr>
          <w:trHeight w:val="270" w:hRule="atLeast"/>
        </w:trPr>
        <w:tc>
          <w:tcPr>
            <w:tcW w:w="1156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5EA8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C2C9A1">
        <w:trPr>
          <w:trHeight w:val="270" w:hRule="atLeast"/>
        </w:trPr>
        <w:tc>
          <w:tcPr>
            <w:tcW w:w="1156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79AA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65567DB">
      <w:pPr>
        <w:rPr>
          <w:rFonts w:hint="default" w:ascii="Times New Roman" w:hAnsi="Times New Roman" w:cs="Times New Roman"/>
          <w:sz w:val="22"/>
          <w:szCs w:val="22"/>
        </w:rPr>
      </w:pPr>
    </w:p>
    <w:p w14:paraId="14DBBFF3">
      <w:pPr>
        <w:bidi w:val="0"/>
        <w:rPr>
          <w:rFonts w:hint="default" w:ascii="Times New Roman" w:hAnsi="Times New Roman" w:cs="Times New Roman" w:eastAsiaTheme="minorEastAsia"/>
          <w:kern w:val="2"/>
          <w:sz w:val="22"/>
          <w:szCs w:val="22"/>
          <w:lang w:val="en-US" w:eastAsia="zh-CN" w:bidi="ar-SA"/>
        </w:rPr>
      </w:pPr>
    </w:p>
    <w:p w14:paraId="358E6324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tbl>
      <w:tblPr>
        <w:tblStyle w:val="2"/>
        <w:tblW w:w="1486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306"/>
        <w:gridCol w:w="924"/>
        <w:gridCol w:w="781"/>
        <w:gridCol w:w="1449"/>
        <w:gridCol w:w="924"/>
        <w:gridCol w:w="781"/>
        <w:gridCol w:w="1449"/>
        <w:gridCol w:w="924"/>
        <w:gridCol w:w="781"/>
        <w:gridCol w:w="1449"/>
        <w:gridCol w:w="924"/>
        <w:gridCol w:w="778"/>
      </w:tblGrid>
      <w:tr w14:paraId="20903395">
        <w:trPr>
          <w:trHeight w:val="296" w:hRule="atLeast"/>
        </w:trPr>
        <w:tc>
          <w:tcPr>
            <w:tcW w:w="148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BB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S2. Fitting statistics for multimorbidity trajectories</w:t>
            </w:r>
          </w:p>
        </w:tc>
      </w:tr>
      <w:tr w14:paraId="31E21904">
        <w:trPr>
          <w:trHeight w:val="315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0C419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1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4065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trajectory</w:t>
            </w:r>
          </w:p>
        </w:tc>
      </w:tr>
      <w:tr w14:paraId="60B8C5B2"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04014E5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2738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wave 2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9442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wave 3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BE7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wave 4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6D2E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wave 5</w:t>
            </w:r>
          </w:p>
        </w:tc>
      </w:tr>
      <w:tr w14:paraId="779BAC73"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3EC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BIC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7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-15114.9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A96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AE9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D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-14117.44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EA7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82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-13801.13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2C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A4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7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-13647.16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1E3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D4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7612D"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A3D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Class1(n/%/APP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4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C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B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0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43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4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0C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A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B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B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</w:t>
            </w:r>
          </w:p>
        </w:tc>
      </w:tr>
      <w:tr w14:paraId="5A24E2BB"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3B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Class2(n/%/APP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A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68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0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F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89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4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F7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AF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4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</w:tr>
      <w:tr w14:paraId="58CBAEAC"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5E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Class3(n/%/APP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4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0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C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D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7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F7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54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B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C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4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</w:tr>
      <w:tr w14:paraId="0708B0C6"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E1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Class4(n/%/APP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6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1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4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1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5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</w:t>
            </w:r>
          </w:p>
        </w:tc>
      </w:tr>
      <w:tr w14:paraId="136147DB"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91ACD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Class5(n/%/APP</w:t>
            </w:r>
            <w:r>
              <w:rPr>
                <w:rStyle w:val="9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EAB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6D24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B3A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5269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3EC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91BF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55D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151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679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D0F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B2E1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C3F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</w:tr>
      <w:tr w14:paraId="495E3840">
        <w:trPr>
          <w:trHeight w:val="312" w:hRule="atLeast"/>
        </w:trPr>
        <w:tc>
          <w:tcPr>
            <w:tcW w:w="14860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51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BIC: Bayesian information criteria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APP: average posterior probabilities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a: The lower absolute value shows a better model fit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b: The higher value is better (&gt; 0.7 in a class)</w:t>
            </w:r>
          </w:p>
        </w:tc>
      </w:tr>
      <w:tr w14:paraId="7CD81D8B">
        <w:trPr>
          <w:trHeight w:val="312" w:hRule="atLeast"/>
        </w:trPr>
        <w:tc>
          <w:tcPr>
            <w:tcW w:w="14860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E1A7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8496B5">
        <w:trPr>
          <w:trHeight w:val="312" w:hRule="atLeast"/>
        </w:trPr>
        <w:tc>
          <w:tcPr>
            <w:tcW w:w="14860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32038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BA0BE">
        <w:trPr>
          <w:trHeight w:val="312" w:hRule="atLeast"/>
        </w:trPr>
        <w:tc>
          <w:tcPr>
            <w:tcW w:w="14860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503D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B2E8A">
        <w:trPr>
          <w:trHeight w:val="312" w:hRule="atLeast"/>
        </w:trPr>
        <w:tc>
          <w:tcPr>
            <w:tcW w:w="14860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D641E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14C5748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986E584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0FD8E66A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6681470" cy="4050665"/>
            <wp:effectExtent l="0" t="0" r="0" b="0"/>
            <wp:docPr id="1" name="图片 1" descr="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1"/>
                    <pic:cNvPicPr>
                      <a:picLocks noChangeAspect="1"/>
                    </pic:cNvPicPr>
                  </pic:nvPicPr>
                  <pic:blipFill>
                    <a:blip r:embed="rId4"/>
                    <a:srcRect l="7213"/>
                    <a:stretch>
                      <a:fillRect/>
                    </a:stretch>
                  </pic:blipFill>
                  <pic:spPr>
                    <a:xfrm>
                      <a:off x="0" y="0"/>
                      <a:ext cx="6681470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AC758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Figure S1. The ranked variables importance by the VIMP from the random survival forest method</w:t>
      </w:r>
    </w:p>
    <w:p w14:paraId="63907A3B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6069965" cy="3803650"/>
            <wp:effectExtent l="0" t="0" r="6985" b="6350"/>
            <wp:docPr id="2" name="图片 2" descr="Fig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2"/>
                    <pic:cNvPicPr>
                      <a:picLocks noChangeAspect="1"/>
                    </pic:cNvPicPr>
                  </pic:nvPicPr>
                  <pic:blipFill>
                    <a:blip r:embed="rId5"/>
                    <a:srcRect l="7758" r="2461"/>
                    <a:stretch>
                      <a:fillRect/>
                    </a:stretch>
                  </pic:blipFill>
                  <pic:spPr>
                    <a:xfrm>
                      <a:off x="0" y="0"/>
                      <a:ext cx="6069965" cy="380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9AB37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Figure S2. The ranked variables importance by the minimal depth from the random survival forest method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8207375" cy="2781300"/>
            <wp:effectExtent l="0" t="0" r="3175" b="0"/>
            <wp:docPr id="6" name="图片 6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S3"/>
                    <pic:cNvPicPr>
                      <a:picLocks noChangeAspect="1"/>
                    </pic:cNvPicPr>
                  </pic:nvPicPr>
                  <pic:blipFill>
                    <a:blip r:embed="rId6"/>
                    <a:srcRect l="3101" t="14294" r="3786" b="29614"/>
                    <a:stretch>
                      <a:fillRect/>
                    </a:stretch>
                  </pic:blipFill>
                  <pic:spPr>
                    <a:xfrm>
                      <a:off x="0" y="0"/>
                      <a:ext cx="820737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B315C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Figure S3. The multivariate Cox model ROC curves at 5-year risk in the training group (A) and in the validation group (B)</w:t>
      </w:r>
    </w:p>
    <w:p w14:paraId="64B8716F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8192770" cy="2727325"/>
            <wp:effectExtent l="0" t="0" r="8255" b="6350"/>
            <wp:docPr id="5" name="图片 5" descr="Fi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S4"/>
                    <pic:cNvPicPr>
                      <a:picLocks noChangeAspect="1"/>
                    </pic:cNvPicPr>
                  </pic:nvPicPr>
                  <pic:blipFill>
                    <a:blip r:embed="rId7"/>
                    <a:srcRect l="4419" t="16146" r="3020" b="29078"/>
                    <a:stretch>
                      <a:fillRect/>
                    </a:stretch>
                  </pic:blipFill>
                  <pic:spPr>
                    <a:xfrm>
                      <a:off x="0" y="0"/>
                      <a:ext cx="8192770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C46CD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Figure S4. The random survival forests model ROC curves at 5-year risk in the training group (A) and in the validation group (B)</w:t>
      </w:r>
    </w:p>
    <w:p w14:paraId="193E19F4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2D7818F4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8243570" cy="2787015"/>
            <wp:effectExtent l="0" t="0" r="0" b="0"/>
            <wp:docPr id="3" name="图片 3" descr="Fig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S6"/>
                    <pic:cNvPicPr>
                      <a:picLocks noChangeAspect="1"/>
                    </pic:cNvPicPr>
                  </pic:nvPicPr>
                  <pic:blipFill>
                    <a:blip r:embed="rId8"/>
                    <a:srcRect l="6959" t="16006" r="-93" b="28019"/>
                    <a:stretch>
                      <a:fillRect/>
                    </a:stretch>
                  </pic:blipFill>
                  <pic:spPr>
                    <a:xfrm>
                      <a:off x="0" y="0"/>
                      <a:ext cx="8243570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24317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Figure S5. The multivariate Cox model calibration curves of 5-years risk in the training group (A) and in the validation group (B). The dashed line represents an excellent match between nomogram prediction (X-axis) and actual survival outcome (Y-axis). The cohort was divided into five groups with equal sample size for internal validation. Closer distances from the points to the dashed line indicate higher prediction accuracy.</w:t>
      </w:r>
    </w:p>
    <w:p w14:paraId="5370AAE1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70ADDF41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</w:p>
    <w:p w14:paraId="155F1FFB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drawing>
          <wp:inline distT="0" distB="0" distL="114300" distR="114300">
            <wp:extent cx="8226425" cy="2807970"/>
            <wp:effectExtent l="0" t="0" r="0" b="0"/>
            <wp:docPr id="7" name="图片 7" descr="Fig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S6"/>
                    <pic:cNvPicPr>
                      <a:picLocks noChangeAspect="1"/>
                    </pic:cNvPicPr>
                  </pic:nvPicPr>
                  <pic:blipFill>
                    <a:blip r:embed="rId8"/>
                    <a:srcRect l="7059" t="14348" b="29256"/>
                    <a:stretch>
                      <a:fillRect/>
                    </a:stretch>
                  </pic:blipFill>
                  <pic:spPr>
                    <a:xfrm>
                      <a:off x="0" y="0"/>
                      <a:ext cx="8226425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57EAD">
      <w:pPr>
        <w:bidi w:val="0"/>
        <w:jc w:val="left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Figure S6. The random survival forests model calibration curves of 5-years risk in the training group (A) and in the validation group (B). The dashed line represents an excellent match between nomogram prediction (X-axis) and actual survival outcome (Y-axis). The cohort was divided into five groups with equal sample size for internal validation. Closer distances from the points to the dashed line indicate higher prediction accuracy.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xOWQ1YmZiOTEyY2U1ZjA5ZjFkMTU0MTdjNTNiNWIifQ=="/>
  </w:docVars>
  <w:rsids>
    <w:rsidRoot w:val="0A725E29"/>
    <w:rsid w:val="091F055F"/>
    <w:rsid w:val="0A725E29"/>
    <w:rsid w:val="227617F8"/>
    <w:rsid w:val="2B9D4F22"/>
    <w:rsid w:val="2CF775D2"/>
    <w:rsid w:val="2E7D5351"/>
    <w:rsid w:val="5790055A"/>
    <w:rsid w:val="59295BAB"/>
    <w:rsid w:val="698B4630"/>
    <w:rsid w:val="7C1F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7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6">
    <w:name w:val="font21"/>
    <w:basedOn w:val="3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7">
    <w:name w:val="font81"/>
    <w:basedOn w:val="3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  <w:vertAlign w:val="superscript"/>
    </w:rPr>
  </w:style>
  <w:style w:type="character" w:customStyle="1" w:styleId="8">
    <w:name w:val="font5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3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10</TotalTime>
  <ScaleCrop>false</ScaleCrop>
  <LinksUpToDate>false</LinksUpToDate>
  <CharactersWithSpaces>0</CharactersWithSpaces>
  <Application>WPS Office_6.10.0.8870_F1E327BC-269C-435d-A152-05C5408002CA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2024-05-13T11:29:00Z</dcterms:created>
  <dc:creator>SHAN Yifan</dc:creator>
  <cp:lastModifiedBy>SHAN Yifan</cp:lastModifiedBy>
  <dcterms:modified xsi:type="dcterms:W3CDTF">2024-08-12T18:25:31Z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2052-6.10.0.8870</vt:lpwstr>
  </property>
  <property fmtid="{D5CDD505-2E9C-101B-9397-08002B2CF9AE}" pid="3" name="ICV">
    <vt:lpwstr>36E5CD6C7A4022701BE3B96688FE2B7F_43</vt:lpwstr>
  </property>
</Properties>
</file>