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348F" w14:textId="1736427B" w:rsidR="009F4381" w:rsidRDefault="009A10FF" w:rsidP="009A10FF">
      <w:pPr>
        <w:jc w:val="center"/>
        <w:rPr>
          <w:b/>
          <w:bCs/>
          <w:sz w:val="28"/>
          <w:szCs w:val="28"/>
        </w:rPr>
      </w:pPr>
      <w:r w:rsidRPr="009A10FF">
        <w:rPr>
          <w:b/>
          <w:bCs/>
          <w:sz w:val="28"/>
          <w:szCs w:val="28"/>
        </w:rPr>
        <w:t>Supplementary Material</w:t>
      </w:r>
    </w:p>
    <w:p w14:paraId="570C5E09" w14:textId="77777777" w:rsidR="00360730" w:rsidRPr="0006323D" w:rsidRDefault="00360730" w:rsidP="0036073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OLE_LINK12"/>
      <w:r w:rsidRPr="00107D5A">
        <w:rPr>
          <w:rFonts w:ascii="Times New Roman" w:hAnsi="Times New Roman" w:cs="Times New Roman"/>
          <w:color w:val="000000" w:themeColor="text1"/>
          <w:sz w:val="20"/>
          <w:szCs w:val="20"/>
        </w:rPr>
        <w:t>Supplementary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Fig. 1: Mutation map of key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GRGs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08074C3" w14:textId="77777777" w:rsidR="00360730" w:rsidRPr="0006323D" w:rsidRDefault="00360730" w:rsidP="00360730">
      <w:pPr>
        <w:rPr>
          <w:rFonts w:ascii="Times New Roman" w:hAnsi="Times New Roman" w:cs="Times New Roman"/>
          <w:sz w:val="20"/>
          <w:szCs w:val="20"/>
        </w:rPr>
      </w:pPr>
      <w:r w:rsidRPr="00107D5A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sz w:val="20"/>
          <w:szCs w:val="20"/>
        </w:rPr>
        <w:t xml:space="preserve">Fig. 2: Box plot illustrating the expression of ten key </w:t>
      </w:r>
      <w:r>
        <w:rPr>
          <w:rFonts w:ascii="Times New Roman" w:hAnsi="Times New Roman" w:cs="Times New Roman"/>
          <w:sz w:val="20"/>
          <w:szCs w:val="20"/>
        </w:rPr>
        <w:t>GRGs</w:t>
      </w:r>
      <w:r w:rsidRPr="0006323D">
        <w:rPr>
          <w:rFonts w:ascii="Times New Roman" w:hAnsi="Times New Roman" w:cs="Times New Roman"/>
          <w:sz w:val="20"/>
          <w:szCs w:val="20"/>
        </w:rPr>
        <w:t xml:space="preserve"> across four </w:t>
      </w:r>
      <w:r>
        <w:rPr>
          <w:rFonts w:ascii="Times New Roman" w:hAnsi="Times New Roman" w:cs="Times New Roman"/>
          <w:sz w:val="20"/>
          <w:szCs w:val="20"/>
        </w:rPr>
        <w:t>classe</w:t>
      </w:r>
      <w:r w:rsidRPr="0006323D">
        <w:rPr>
          <w:rFonts w:ascii="Times New Roman" w:hAnsi="Times New Roman" w:cs="Times New Roman"/>
          <w:sz w:val="20"/>
          <w:szCs w:val="20"/>
        </w:rPr>
        <w:t>s.</w:t>
      </w:r>
    </w:p>
    <w:p w14:paraId="2B0C0920" w14:textId="77777777" w:rsidR="00360730" w:rsidRPr="0006323D" w:rsidRDefault="00360730" w:rsidP="00360730">
      <w:pPr>
        <w:rPr>
          <w:rFonts w:ascii="Times New Roman" w:hAnsi="Times New Roman" w:cs="Times New Roman"/>
          <w:sz w:val="20"/>
          <w:szCs w:val="20"/>
        </w:rPr>
      </w:pPr>
      <w:r w:rsidRPr="00107D5A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sz w:val="20"/>
          <w:szCs w:val="20"/>
        </w:rPr>
        <w:t xml:space="preserve">Fig. 3: (A) PCA distribution plot of expression levels across 33 cancer types. (B) t-SNE distribution plot of expression levels across 33 cancer types. (C) Survival curves for the four </w:t>
      </w:r>
      <w:r>
        <w:rPr>
          <w:rFonts w:ascii="Times New Roman" w:hAnsi="Times New Roman" w:cs="Times New Roman"/>
          <w:sz w:val="20"/>
          <w:szCs w:val="20"/>
        </w:rPr>
        <w:t>classe</w:t>
      </w:r>
      <w:r w:rsidRPr="0006323D">
        <w:rPr>
          <w:rFonts w:ascii="Times New Roman" w:hAnsi="Times New Roman" w:cs="Times New Roman"/>
          <w:sz w:val="20"/>
          <w:szCs w:val="20"/>
        </w:rPr>
        <w:t xml:space="preserve">s. </w:t>
      </w:r>
    </w:p>
    <w:p w14:paraId="07C6D184" w14:textId="77777777" w:rsidR="00360730" w:rsidRPr="0006323D" w:rsidRDefault="00360730" w:rsidP="00360730">
      <w:pPr>
        <w:rPr>
          <w:rFonts w:ascii="Times New Roman" w:hAnsi="Times New Roman" w:cs="Times New Roman"/>
          <w:sz w:val="20"/>
          <w:szCs w:val="20"/>
        </w:rPr>
      </w:pPr>
      <w:r w:rsidRPr="00107D5A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sz w:val="20"/>
          <w:szCs w:val="20"/>
        </w:rPr>
        <w:t xml:space="preserve">Fig. 4: (A) Spearman correlation coefficient of key glycolytic genes with immune cell abundance. (B) Heatmap illustrating enrichment scores for significant feature sets. </w:t>
      </w:r>
    </w:p>
    <w:p w14:paraId="716073F7" w14:textId="77777777" w:rsidR="00360730" w:rsidRDefault="00360730" w:rsidP="0036073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07D5A">
        <w:rPr>
          <w:rFonts w:ascii="Times New Roman" w:hAnsi="Times New Roman" w:cs="Times New Roman"/>
          <w:color w:val="000000" w:themeColor="text1"/>
          <w:sz w:val="20"/>
          <w:szCs w:val="20"/>
        </w:rPr>
        <w:t>Supplementary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>: Spearman correlation coefficient between key glycolytic genes and PDCD1.</w:t>
      </w:r>
    </w:p>
    <w:p w14:paraId="0EEA8C13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0D7467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8F617B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45068E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2B2D35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AB9536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8CEE77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358D95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C980EA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48CA04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DBB05D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F78BDE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66C08E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CF767C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75B282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70837DE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61FD704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906B68F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EA6192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97C70E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58F906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0F0011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1D2748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6DB95A9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D767CD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90FF1F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04BE3D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1BDF3B6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63CC77D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280834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3FE026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A63AF96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353834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F3E834" w14:textId="77777777" w:rsid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0599DF" w14:textId="77777777" w:rsidR="00360730" w:rsidRPr="00360730" w:rsidRDefault="00360730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EB353B" w14:textId="11233665" w:rsidR="009A10FF" w:rsidRDefault="009A10FF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07D5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Supplementary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Fig. 1: Mutation map of key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GRGs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003F67E" w14:textId="05C74CBD" w:rsidR="009A10FF" w:rsidRPr="0006323D" w:rsidRDefault="009A10FF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9D7A402" wp14:editId="32301653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5270400" cy="2847600"/>
            <wp:effectExtent l="0" t="0" r="635" b="0"/>
            <wp:wrapTopAndBottom/>
            <wp:docPr id="1554497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9796" name="图片 1554497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28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0117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  <w:bookmarkStart w:id="1" w:name="OLE_LINK13"/>
      <w:bookmarkEnd w:id="0"/>
    </w:p>
    <w:p w14:paraId="2ABE8C51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758126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312CFF6C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7DFB9B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23B511F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44478871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4408EF16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2AC80C00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0FED6DF5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70E309A5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05FF9A93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6F459FD9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1DC1DCB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11F17A49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A46D68E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61668EDA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FED2BB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73114114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61A5581E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6C8EC372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07B1E404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64F6B480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6F414C36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21FA4F8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1E2F012D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8A97EA6" w14:textId="77777777" w:rsidR="004B6215" w:rsidRDefault="004B6215" w:rsidP="009A10FF">
      <w:pPr>
        <w:rPr>
          <w:rFonts w:ascii="Times New Roman" w:hAnsi="Times New Roman" w:cs="Times New Roman"/>
          <w:sz w:val="20"/>
          <w:szCs w:val="20"/>
        </w:rPr>
      </w:pPr>
    </w:p>
    <w:p w14:paraId="52B93A66" w14:textId="77777777" w:rsidR="004B6215" w:rsidRDefault="004B6215" w:rsidP="009A10FF">
      <w:pPr>
        <w:rPr>
          <w:rFonts w:ascii="Times New Roman" w:hAnsi="Times New Roman" w:cs="Times New Roman"/>
          <w:sz w:val="20"/>
          <w:szCs w:val="20"/>
        </w:rPr>
      </w:pPr>
    </w:p>
    <w:p w14:paraId="74660946" w14:textId="796C81B7" w:rsidR="009A10FF" w:rsidRDefault="009A10FF" w:rsidP="009A10FF">
      <w:pPr>
        <w:rPr>
          <w:rFonts w:ascii="Times New Roman" w:hAnsi="Times New Roman" w:cs="Times New Roman"/>
          <w:sz w:val="20"/>
          <w:szCs w:val="20"/>
        </w:rPr>
      </w:pPr>
      <w:r w:rsidRPr="00107D5A">
        <w:rPr>
          <w:rFonts w:ascii="Times New Roman" w:hAnsi="Times New Roman" w:cs="Times New Roman"/>
          <w:sz w:val="20"/>
          <w:szCs w:val="20"/>
        </w:rPr>
        <w:lastRenderedPageBreak/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sz w:val="20"/>
          <w:szCs w:val="20"/>
        </w:rPr>
        <w:t xml:space="preserve">Fig. 2: Box plot illustrating the expression of ten key </w:t>
      </w:r>
      <w:r>
        <w:rPr>
          <w:rFonts w:ascii="Times New Roman" w:hAnsi="Times New Roman" w:cs="Times New Roman"/>
          <w:sz w:val="20"/>
          <w:szCs w:val="20"/>
        </w:rPr>
        <w:t>GRGs</w:t>
      </w:r>
      <w:r w:rsidRPr="0006323D">
        <w:rPr>
          <w:rFonts w:ascii="Times New Roman" w:hAnsi="Times New Roman" w:cs="Times New Roman"/>
          <w:sz w:val="20"/>
          <w:szCs w:val="20"/>
        </w:rPr>
        <w:t xml:space="preserve"> across four </w:t>
      </w:r>
      <w:r>
        <w:rPr>
          <w:rFonts w:ascii="Times New Roman" w:hAnsi="Times New Roman" w:cs="Times New Roman"/>
          <w:sz w:val="20"/>
          <w:szCs w:val="20"/>
        </w:rPr>
        <w:t>classe</w:t>
      </w:r>
      <w:r w:rsidRPr="0006323D">
        <w:rPr>
          <w:rFonts w:ascii="Times New Roman" w:hAnsi="Times New Roman" w:cs="Times New Roman"/>
          <w:sz w:val="20"/>
          <w:szCs w:val="20"/>
        </w:rPr>
        <w:t>s.</w:t>
      </w:r>
    </w:p>
    <w:p w14:paraId="40B48C00" w14:textId="3FACE658" w:rsidR="009A10FF" w:rsidRPr="0006323D" w:rsidRDefault="009A10FF" w:rsidP="009A10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70DA345" wp14:editId="5A418EF2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270400" cy="4305600"/>
            <wp:effectExtent l="0" t="0" r="635" b="0"/>
            <wp:wrapTopAndBottom/>
            <wp:docPr id="14274160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16031" name="图片 14274160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43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14:paraId="7C5087AC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7ED15DEC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31FD271A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2BE1DB03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7CA5156B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2DBA0518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8DAB5B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3AD376D0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AEF58BC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4C69399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1E9DD0D5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5F63D3D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03F18799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60350FA6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7BF8A9C0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2F725AD2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D174B42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16081758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3B0ABBE3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3AD72ECC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4A723F1A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097EB167" w14:textId="6C2B0BD8" w:rsidR="009A10FF" w:rsidRDefault="009A10FF" w:rsidP="009A10FF">
      <w:pPr>
        <w:rPr>
          <w:rFonts w:ascii="Times New Roman" w:hAnsi="Times New Roman" w:cs="Times New Roman"/>
          <w:sz w:val="20"/>
          <w:szCs w:val="20"/>
        </w:rPr>
      </w:pPr>
      <w:r w:rsidRPr="00107D5A">
        <w:rPr>
          <w:rFonts w:ascii="Times New Roman" w:hAnsi="Times New Roman" w:cs="Times New Roman"/>
          <w:sz w:val="20"/>
          <w:szCs w:val="20"/>
        </w:rPr>
        <w:lastRenderedPageBreak/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sz w:val="20"/>
          <w:szCs w:val="20"/>
        </w:rPr>
        <w:t xml:space="preserve">Fig. 3: (A) PCA distribution plot of expression levels across 33 cancer types. (B) t-SNE distribution plot of expression levels across 33 cancer types. (C) Survival curves for the four </w:t>
      </w:r>
      <w:r>
        <w:rPr>
          <w:rFonts w:ascii="Times New Roman" w:hAnsi="Times New Roman" w:cs="Times New Roman"/>
          <w:sz w:val="20"/>
          <w:szCs w:val="20"/>
        </w:rPr>
        <w:t>classe</w:t>
      </w:r>
      <w:r w:rsidRPr="0006323D">
        <w:rPr>
          <w:rFonts w:ascii="Times New Roman" w:hAnsi="Times New Roman" w:cs="Times New Roman"/>
          <w:sz w:val="20"/>
          <w:szCs w:val="20"/>
        </w:rPr>
        <w:t xml:space="preserve">s. </w:t>
      </w:r>
    </w:p>
    <w:p w14:paraId="17B74CFC" w14:textId="4EE921A0" w:rsidR="009A10FF" w:rsidRPr="0006323D" w:rsidRDefault="009A10FF" w:rsidP="009A10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0BBCBCB" wp14:editId="19A1E8E3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5270400" cy="7452000"/>
            <wp:effectExtent l="0" t="0" r="635" b="3175"/>
            <wp:wrapTopAndBottom/>
            <wp:docPr id="18901018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01801" name="图片 18901018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74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6316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  <w:bookmarkStart w:id="2" w:name="OLE_LINK14"/>
    </w:p>
    <w:p w14:paraId="09D80DC7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36C9F1EE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1ACE3D02" w14:textId="7777777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</w:p>
    <w:p w14:paraId="5C687058" w14:textId="7C53180A" w:rsidR="009A10FF" w:rsidRDefault="009A10FF" w:rsidP="009A10FF">
      <w:pPr>
        <w:rPr>
          <w:rFonts w:ascii="Times New Roman" w:hAnsi="Times New Roman" w:cs="Times New Roman"/>
          <w:sz w:val="20"/>
          <w:szCs w:val="20"/>
        </w:rPr>
      </w:pPr>
      <w:r w:rsidRPr="00107D5A">
        <w:rPr>
          <w:rFonts w:ascii="Times New Roman" w:hAnsi="Times New Roman" w:cs="Times New Roman"/>
          <w:sz w:val="20"/>
          <w:szCs w:val="20"/>
        </w:rPr>
        <w:lastRenderedPageBreak/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sz w:val="20"/>
          <w:szCs w:val="20"/>
        </w:rPr>
        <w:t xml:space="preserve">Fig. 4: (A) Spearman correlation coefficient of key glycolytic genes with immune cell abundance. (B) Heatmap illustrating enrichment scores for significant feature sets. </w:t>
      </w:r>
    </w:p>
    <w:p w14:paraId="0BF071DE" w14:textId="32E46D97" w:rsidR="00FA2076" w:rsidRDefault="00FA2076" w:rsidP="009A10FF"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  <w:b/>
          <w:bCs/>
          <w:noProof/>
          <w:sz w:val="24"/>
        </w:rPr>
        <w:drawing>
          <wp:anchor distT="0" distB="0" distL="114300" distR="114300" simplePos="0" relativeHeight="251663360" behindDoc="0" locked="0" layoutInCell="1" allowOverlap="1" wp14:anchorId="004CFFB1" wp14:editId="2240FCD4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3935850" cy="7274822"/>
            <wp:effectExtent l="0" t="0" r="1270" b="2540"/>
            <wp:wrapTopAndBottom/>
            <wp:docPr id="17840304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30448" name="图片 17840304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920" cy="727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4BF99" w14:textId="77777777" w:rsidR="009A10FF" w:rsidRDefault="009A10FF" w:rsidP="009A10FF">
      <w:pPr>
        <w:rPr>
          <w:rFonts w:ascii="Times New Roman" w:hAnsi="Times New Roman" w:cs="Times New Roman"/>
          <w:sz w:val="20"/>
          <w:szCs w:val="20"/>
        </w:rPr>
      </w:pPr>
    </w:p>
    <w:p w14:paraId="34F5E5C3" w14:textId="78044F22" w:rsidR="009A10FF" w:rsidRPr="0006323D" w:rsidRDefault="009A10FF" w:rsidP="009A10FF">
      <w:pPr>
        <w:rPr>
          <w:rFonts w:ascii="Times New Roman" w:hAnsi="Times New Roman" w:cs="Times New Roman"/>
          <w:sz w:val="20"/>
          <w:szCs w:val="20"/>
        </w:rPr>
      </w:pPr>
    </w:p>
    <w:bookmarkEnd w:id="2"/>
    <w:p w14:paraId="2DAAB517" w14:textId="6A848134" w:rsidR="009A10FF" w:rsidRDefault="009A10FF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4D36C371" wp14:editId="785D9D13">
            <wp:simplePos x="0" y="0"/>
            <wp:positionH relativeFrom="column">
              <wp:posOffset>0</wp:posOffset>
            </wp:positionH>
            <wp:positionV relativeFrom="paragraph">
              <wp:posOffset>277038</wp:posOffset>
            </wp:positionV>
            <wp:extent cx="5270500" cy="6360160"/>
            <wp:effectExtent l="0" t="0" r="0" b="2540"/>
            <wp:wrapTopAndBottom/>
            <wp:docPr id="7634740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474044" name="图片 7634740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D5A">
        <w:rPr>
          <w:rFonts w:ascii="Times New Roman" w:hAnsi="Times New Roman" w:cs="Times New Roman"/>
          <w:color w:val="000000" w:themeColor="text1"/>
          <w:sz w:val="20"/>
          <w:szCs w:val="20"/>
        </w:rPr>
        <w:t>Supplementary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06323D">
        <w:rPr>
          <w:rFonts w:ascii="Times New Roman" w:hAnsi="Times New Roman" w:cs="Times New Roman"/>
          <w:color w:val="000000" w:themeColor="text1"/>
          <w:sz w:val="20"/>
          <w:szCs w:val="20"/>
        </w:rPr>
        <w:t>: Spearman correlation coefficient between key glycolytic genes and PDCD1.</w:t>
      </w:r>
    </w:p>
    <w:p w14:paraId="1D3AB269" w14:textId="57F00AEA" w:rsidR="009A10FF" w:rsidRDefault="009A10FF" w:rsidP="009A10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258969" w14:textId="06535CE9" w:rsidR="009A10FF" w:rsidRPr="009A10FF" w:rsidRDefault="009A10FF" w:rsidP="009A10FF">
      <w:pPr>
        <w:rPr>
          <w:b/>
          <w:bCs/>
          <w:sz w:val="24"/>
        </w:rPr>
      </w:pPr>
    </w:p>
    <w:sectPr w:rsidR="009A10FF" w:rsidRPr="009A10FF" w:rsidSect="00BF737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E9"/>
    <w:rsid w:val="00360730"/>
    <w:rsid w:val="004B6215"/>
    <w:rsid w:val="00681831"/>
    <w:rsid w:val="009A10FF"/>
    <w:rsid w:val="009F4381"/>
    <w:rsid w:val="00BE5E16"/>
    <w:rsid w:val="00BF7373"/>
    <w:rsid w:val="00EC65EC"/>
    <w:rsid w:val="00EF28EE"/>
    <w:rsid w:val="00F81BE9"/>
    <w:rsid w:val="00F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91C13"/>
  <w15:chartTrackingRefBased/>
  <w15:docId w15:val="{96D3FE2A-250A-3A4E-892E-323C1BD8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19989</dc:creator>
  <cp:keywords/>
  <dc:description/>
  <cp:lastModifiedBy>19989</cp:lastModifiedBy>
  <cp:revision>2</cp:revision>
  <dcterms:created xsi:type="dcterms:W3CDTF">2023-12-22T12:19:00Z</dcterms:created>
  <dcterms:modified xsi:type="dcterms:W3CDTF">2023-12-22T12:19:00Z</dcterms:modified>
</cp:coreProperties>
</file>