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32AA9" w14:textId="1A041948" w:rsidR="00EF4B94" w:rsidRDefault="00914C56" w:rsidP="00914C5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22"/>
        <w:gridCol w:w="7041"/>
        <w:gridCol w:w="720"/>
        <w:gridCol w:w="4320"/>
      </w:tblGrid>
      <w:tr w:rsidR="00D8098C" w:rsidRPr="00B853C6" w14:paraId="68BC94E2" w14:textId="1CEFEAFD" w:rsidTr="003D447D">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D8098C" w:rsidRPr="00B853C6" w14:paraId="6D71F361" w14:textId="15A67F44" w:rsidTr="003D447D">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7EF2E144" w:rsidR="00D8098C" w:rsidRPr="00F0337F" w:rsidRDefault="008E34ED" w:rsidP="00426603">
            <w:pPr>
              <w:spacing w:beforeLines="40" w:before="96" w:afterLines="40" w:after="96" w:line="24" w:lineRule="atLeast"/>
              <w:rPr>
                <w:rFonts w:eastAsia="Times New Roman"/>
                <w:sz w:val="18"/>
                <w:szCs w:val="18"/>
                <w:lang w:val="en-GB" w:eastAsia="zh-CN"/>
              </w:rPr>
            </w:pPr>
            <w:r>
              <w:rPr>
                <w:rFonts w:eastAsia="Times New Roman" w:hint="eastAsia"/>
                <w:sz w:val="18"/>
                <w:szCs w:val="18"/>
                <w:lang w:val="en-GB" w:eastAsia="zh-CN"/>
              </w:rPr>
              <w:t>1</w:t>
            </w:r>
          </w:p>
        </w:tc>
        <w:tc>
          <w:tcPr>
            <w:tcW w:w="4320" w:type="dxa"/>
            <w:tcBorders>
              <w:top w:val="single" w:sz="6" w:space="0" w:color="7F7F7F"/>
              <w:bottom w:val="single" w:sz="6" w:space="0" w:color="7F7F7F"/>
            </w:tcBorders>
            <w:shd w:val="clear" w:color="auto" w:fill="EEEEEE"/>
          </w:tcPr>
          <w:p w14:paraId="2F6D1FAF" w14:textId="009D39C8" w:rsidR="00D8098C" w:rsidRDefault="008E34ED" w:rsidP="00426603">
            <w:pPr>
              <w:spacing w:beforeLines="40" w:before="96" w:afterLines="40" w:after="96" w:line="24" w:lineRule="atLeast"/>
              <w:rPr>
                <w:rFonts w:eastAsia="Times New Roman"/>
                <w:sz w:val="18"/>
                <w:szCs w:val="18"/>
                <w:lang w:val="en-GB" w:eastAsia="en-GB"/>
              </w:rPr>
            </w:pPr>
            <w:r w:rsidRPr="008E34ED">
              <w:rPr>
                <w:rFonts w:eastAsia="Times New Roman"/>
                <w:sz w:val="18"/>
                <w:szCs w:val="18"/>
                <w:lang w:val="en-GB" w:eastAsia="en-GB"/>
              </w:rPr>
              <w:t>The association between cognitive performance and meniscal injuries: A Mendelian randomization analysis</w:t>
            </w:r>
          </w:p>
        </w:tc>
      </w:tr>
      <w:tr w:rsidR="00D8098C" w:rsidRPr="00B853C6" w14:paraId="641E6A58" w14:textId="3A4EC1CE" w:rsidTr="003D447D">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7041"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7A6DC6E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7DB622D8" w14:textId="3921B7E8" w:rsidTr="003D447D">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22"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7041"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sidR="00514462">
              <w:rPr>
                <w:rFonts w:eastAsia="Times New Roman"/>
                <w:sz w:val="18"/>
                <w:szCs w:val="18"/>
                <w:lang w:val="en-GB" w:eastAsia="en-GB"/>
              </w:rPr>
              <w:t xml:space="preserve">a </w:t>
            </w:r>
            <w:r>
              <w:rPr>
                <w:rFonts w:eastAsia="Times New Roman"/>
                <w:sz w:val="18"/>
                <w:szCs w:val="18"/>
                <w:lang w:val="en-GB" w:eastAsia="en-GB"/>
              </w:rPr>
              <w:t>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20" w:type="dxa"/>
            <w:shd w:val="clear" w:color="auto" w:fill="EEEEEE"/>
          </w:tcPr>
          <w:p w14:paraId="460FB29C" w14:textId="0DEA7F7E" w:rsidR="00D8098C" w:rsidRPr="00F0337F" w:rsidRDefault="008E34ED" w:rsidP="00426603">
            <w:pPr>
              <w:spacing w:beforeLines="40" w:before="96" w:afterLines="40" w:after="96" w:line="24" w:lineRule="atLeast"/>
              <w:rPr>
                <w:rFonts w:eastAsia="Times New Roman"/>
                <w:sz w:val="18"/>
                <w:szCs w:val="18"/>
                <w:lang w:val="en-GB" w:eastAsia="zh-CN"/>
              </w:rPr>
            </w:pPr>
            <w:r>
              <w:rPr>
                <w:rFonts w:eastAsia="Times New Roman" w:hint="eastAsia"/>
                <w:sz w:val="18"/>
                <w:szCs w:val="18"/>
                <w:lang w:val="en-GB" w:eastAsia="zh-CN"/>
              </w:rPr>
              <w:t>1</w:t>
            </w:r>
            <w:r>
              <w:rPr>
                <w:rFonts w:eastAsia="Times New Roman"/>
                <w:sz w:val="18"/>
                <w:szCs w:val="18"/>
                <w:lang w:val="en-GB" w:eastAsia="zh-CN"/>
              </w:rPr>
              <w:t>-2</w:t>
            </w:r>
          </w:p>
        </w:tc>
        <w:tc>
          <w:tcPr>
            <w:tcW w:w="4320" w:type="dxa"/>
            <w:shd w:val="clear" w:color="auto" w:fill="EEEEEE"/>
          </w:tcPr>
          <w:p w14:paraId="5D990A22" w14:textId="37F10D24" w:rsidR="00D8098C" w:rsidRDefault="008E34ED"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R</w:t>
            </w:r>
            <w:r w:rsidRPr="008E34ED">
              <w:rPr>
                <w:rFonts w:eastAsia="Times New Roman"/>
                <w:sz w:val="18"/>
                <w:szCs w:val="18"/>
                <w:lang w:val="en-GB" w:eastAsia="en-GB"/>
              </w:rPr>
              <w:t>esearch on the relationship cognitive performance and meniscal injuries is lacking, and the causal relationship between them remains uncertain, necessitating further investigation.</w:t>
            </w:r>
          </w:p>
        </w:tc>
      </w:tr>
      <w:tr w:rsidR="00D8098C" w:rsidRPr="00B853C6" w14:paraId="7907A3D3" w14:textId="5AB948A7" w:rsidTr="003D447D">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3</w:t>
            </w:r>
          </w:p>
        </w:tc>
        <w:tc>
          <w:tcPr>
            <w:tcW w:w="1822"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7041"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137A5A95" w:rsidR="00D8098C" w:rsidRPr="00A1236D" w:rsidRDefault="008E34ED" w:rsidP="00426603">
            <w:pPr>
              <w:spacing w:beforeLines="40" w:before="96" w:afterLines="40" w:after="96" w:line="24" w:lineRule="atLeast"/>
              <w:rPr>
                <w:rFonts w:eastAsia="Times New Roman"/>
                <w:sz w:val="18"/>
                <w:szCs w:val="18"/>
                <w:lang w:val="en-GB" w:eastAsia="zh-CN"/>
              </w:rPr>
            </w:pPr>
            <w:r>
              <w:rPr>
                <w:rFonts w:eastAsia="Times New Roman" w:hint="eastAsia"/>
                <w:sz w:val="18"/>
                <w:szCs w:val="18"/>
                <w:lang w:val="en-GB" w:eastAsia="zh-CN"/>
              </w:rPr>
              <w:t>2</w:t>
            </w:r>
          </w:p>
        </w:tc>
        <w:tc>
          <w:tcPr>
            <w:tcW w:w="4320" w:type="dxa"/>
            <w:tcBorders>
              <w:bottom w:val="single" w:sz="6" w:space="0" w:color="7F7F7F"/>
            </w:tcBorders>
          </w:tcPr>
          <w:p w14:paraId="11250836" w14:textId="651757BA" w:rsidR="00D8098C" w:rsidRDefault="008E34ED"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US" w:eastAsia="en-GB"/>
              </w:rPr>
              <w:t>T</w:t>
            </w:r>
            <w:r w:rsidRPr="008E34ED">
              <w:rPr>
                <w:rFonts w:eastAsia="Times New Roman"/>
                <w:sz w:val="18"/>
                <w:szCs w:val="18"/>
                <w:lang w:val="en-GB" w:eastAsia="en-GB"/>
              </w:rPr>
              <w:t>he aim of this study was to determine the causal link cognitive performance and meniscal injuries using a two-sample MR analysis</w:t>
            </w:r>
          </w:p>
        </w:tc>
      </w:tr>
      <w:tr w:rsidR="00D8098C" w:rsidRPr="00B853C6" w14:paraId="59599383" w14:textId="2880B554" w:rsidTr="003D447D">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7041"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440155E" w14:textId="16610A1F" w:rsidTr="003D447D">
        <w:tc>
          <w:tcPr>
            <w:tcW w:w="587" w:type="dxa"/>
            <w:shd w:val="clear" w:color="auto" w:fill="auto"/>
          </w:tcPr>
          <w:p w14:paraId="5C7CF34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22" w:type="dxa"/>
            <w:shd w:val="clear" w:color="auto" w:fill="auto"/>
          </w:tcPr>
          <w:p w14:paraId="408E2A8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7041" w:type="dxa"/>
            <w:shd w:val="clear" w:color="auto" w:fill="auto"/>
          </w:tcPr>
          <w:p w14:paraId="29029CA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6D802103" w:rsidR="00D8098C" w:rsidRPr="00A1236D" w:rsidRDefault="00D8098C" w:rsidP="00426603">
            <w:pPr>
              <w:spacing w:beforeLines="40" w:before="96" w:afterLines="40" w:after="96" w:line="24" w:lineRule="atLeast"/>
              <w:rPr>
                <w:rFonts w:eastAsia="Times New Roman"/>
                <w:sz w:val="18"/>
                <w:szCs w:val="18"/>
                <w:lang w:val="en-GB" w:eastAsia="zh-CN"/>
              </w:rPr>
            </w:pPr>
          </w:p>
        </w:tc>
        <w:tc>
          <w:tcPr>
            <w:tcW w:w="4320" w:type="dxa"/>
          </w:tcPr>
          <w:p w14:paraId="23CE0AC6" w14:textId="0A014351" w:rsidR="00D8098C" w:rsidRPr="008E34ED" w:rsidRDefault="00D8098C" w:rsidP="00426603">
            <w:pPr>
              <w:spacing w:beforeLines="40" w:before="96" w:afterLines="40" w:after="96" w:line="24" w:lineRule="atLeast"/>
              <w:rPr>
                <w:rFonts w:ascii="宋体" w:eastAsia="宋体" w:hAnsi="宋体" w:cs="宋体"/>
                <w:sz w:val="18"/>
                <w:szCs w:val="18"/>
                <w:lang w:val="en-US" w:eastAsia="zh-CN"/>
              </w:rPr>
            </w:pPr>
          </w:p>
        </w:tc>
      </w:tr>
      <w:tr w:rsidR="00D8098C" w:rsidRPr="00B853C6" w14:paraId="47D5AE21" w14:textId="3CA8D4AF" w:rsidTr="003D447D">
        <w:tc>
          <w:tcPr>
            <w:tcW w:w="587" w:type="dxa"/>
            <w:shd w:val="clear" w:color="auto" w:fill="EEEEEE"/>
          </w:tcPr>
          <w:p w14:paraId="0980B68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9E72ACB"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246167BE"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14:paraId="048ED5CF" w14:textId="78902CEF" w:rsidR="00D8098C" w:rsidRPr="00A1236D" w:rsidRDefault="007E362C" w:rsidP="00426603">
            <w:pPr>
              <w:spacing w:beforeLines="40" w:before="96" w:afterLines="40" w:after="96" w:line="24" w:lineRule="atLeast"/>
              <w:rPr>
                <w:rFonts w:eastAsia="Times New Roman"/>
                <w:sz w:val="18"/>
                <w:szCs w:val="18"/>
                <w:shd w:val="clear" w:color="auto" w:fill="FFFFFF"/>
                <w:lang w:val="en-GB" w:eastAsia="en-GB"/>
              </w:rPr>
            </w:pPr>
            <w:r>
              <w:rPr>
                <w:rFonts w:eastAsia="Times New Roman" w:hint="eastAsia"/>
                <w:sz w:val="18"/>
                <w:szCs w:val="18"/>
                <w:shd w:val="clear" w:color="auto" w:fill="FFFFFF"/>
                <w:lang w:val="en-GB" w:eastAsia="en-GB"/>
              </w:rPr>
              <w:t>2</w:t>
            </w:r>
          </w:p>
        </w:tc>
        <w:tc>
          <w:tcPr>
            <w:tcW w:w="4320" w:type="dxa"/>
            <w:shd w:val="clear" w:color="auto" w:fill="EEEEEE"/>
          </w:tcPr>
          <w:p w14:paraId="33F4171D" w14:textId="1455424C" w:rsidR="00D8098C" w:rsidRPr="007E362C" w:rsidRDefault="007E362C" w:rsidP="00426603">
            <w:pPr>
              <w:spacing w:beforeLines="40" w:before="96" w:afterLines="40" w:after="96" w:line="24" w:lineRule="atLeast"/>
              <w:rPr>
                <w:rFonts w:eastAsia="Times New Roman"/>
                <w:sz w:val="18"/>
                <w:szCs w:val="18"/>
                <w:lang w:val="en-GB" w:eastAsia="en-GB"/>
              </w:rPr>
            </w:pPr>
            <w:r w:rsidRPr="007E362C">
              <w:rPr>
                <w:rFonts w:eastAsia="Times New Roman"/>
                <w:sz w:val="18"/>
                <w:szCs w:val="18"/>
                <w:lang w:val="en-GB" w:eastAsia="en-GB"/>
              </w:rPr>
              <w:t>This MR study utilized published single nucleotide polymorphisms (SNPs) from the Genome-wide Association Studies (GWAS) database as instrumental variables to assess the impact of cognitive performance on the risk of meniscal injuries.</w:t>
            </w:r>
          </w:p>
        </w:tc>
      </w:tr>
      <w:tr w:rsidR="00D8098C" w:rsidRPr="00B853C6" w14:paraId="376A6F82" w14:textId="43693FDC" w:rsidTr="003D447D">
        <w:tc>
          <w:tcPr>
            <w:tcW w:w="587" w:type="dxa"/>
            <w:shd w:val="clear" w:color="auto" w:fill="auto"/>
          </w:tcPr>
          <w:p w14:paraId="6B85F4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CF2EB5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E3BCE69"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20" w:type="dxa"/>
          </w:tcPr>
          <w:p w14:paraId="29ACC32C" w14:textId="4E18D844" w:rsidR="00D8098C" w:rsidRPr="00A1236D" w:rsidRDefault="007E362C" w:rsidP="00426603">
            <w:pPr>
              <w:spacing w:beforeLines="40" w:before="96" w:afterLines="40" w:after="96" w:line="24" w:lineRule="atLeast"/>
              <w:textAlignment w:val="baseline"/>
              <w:rPr>
                <w:rFonts w:eastAsia="Times New Roman"/>
                <w:sz w:val="18"/>
                <w:szCs w:val="18"/>
                <w:shd w:val="clear" w:color="auto" w:fill="FFFFFF"/>
                <w:lang w:val="en-GB" w:eastAsia="en-GB"/>
              </w:rPr>
            </w:pPr>
            <w:r>
              <w:rPr>
                <w:rFonts w:eastAsia="Times New Roman" w:hint="eastAsia"/>
                <w:sz w:val="18"/>
                <w:szCs w:val="18"/>
                <w:shd w:val="clear" w:color="auto" w:fill="FFFFFF"/>
                <w:lang w:val="en-GB" w:eastAsia="en-GB"/>
              </w:rPr>
              <w:t>2</w:t>
            </w:r>
          </w:p>
        </w:tc>
        <w:tc>
          <w:tcPr>
            <w:tcW w:w="4320" w:type="dxa"/>
          </w:tcPr>
          <w:p w14:paraId="7910BFA9" w14:textId="77777777" w:rsidR="007E362C" w:rsidRPr="007E362C" w:rsidRDefault="007E362C" w:rsidP="007E362C">
            <w:pPr>
              <w:spacing w:beforeLines="40" w:before="96" w:afterLines="40" w:after="96" w:line="24" w:lineRule="atLeast"/>
              <w:rPr>
                <w:rFonts w:eastAsia="Times New Roman"/>
                <w:sz w:val="18"/>
                <w:szCs w:val="18"/>
                <w:lang w:val="en-GB" w:eastAsia="en-GB"/>
              </w:rPr>
            </w:pPr>
            <w:r w:rsidRPr="007E362C">
              <w:rPr>
                <w:rFonts w:eastAsia="Times New Roman"/>
                <w:sz w:val="18"/>
                <w:szCs w:val="18"/>
                <w:lang w:val="en-GB" w:eastAsia="en-GB"/>
              </w:rPr>
              <w:t xml:space="preserve">The largest publicly accessible GWAS dataset, which includes 257,841 participants of European ancestry, provides summary data on cognitive performance. The summary dataset for the associations between SNPs and meniscal derangement was retrieved by searching GWAS ID: finn-b-M13_MENISCUSDERANGEMENTS on the website </w:t>
            </w:r>
            <w:hyperlink r:id="rId10" w:tgtFrame="_new" w:history="1">
              <w:r w:rsidRPr="007E362C">
                <w:rPr>
                  <w:rFonts w:eastAsia="Times New Roman"/>
                  <w:sz w:val="18"/>
                  <w:szCs w:val="18"/>
                  <w:lang w:val="en-GB" w:eastAsia="en-GB"/>
                </w:rPr>
                <w:t>https://gwas.mrcieu.ac.uk/</w:t>
              </w:r>
            </w:hyperlink>
            <w:r w:rsidRPr="007E362C">
              <w:rPr>
                <w:rFonts w:eastAsia="Times New Roman"/>
                <w:sz w:val="18"/>
                <w:szCs w:val="18"/>
                <w:lang w:val="en-GB" w:eastAsia="en-GB"/>
              </w:rPr>
              <w:t xml:space="preserve"> (accessed on June 6, 2024). This GWAS is the latest regarding meniscal derangement and was updated in 2021. It includes 13,568 cases of meniscal derangement and 147,221 controls, with a total of 16,380,200 SNPs tested. All participants are of European ancestry.</w:t>
            </w:r>
          </w:p>
          <w:p w14:paraId="37C3B4C3" w14:textId="77777777" w:rsidR="00D8098C" w:rsidRPr="007E362C" w:rsidRDefault="00D8098C" w:rsidP="007E362C">
            <w:pPr>
              <w:spacing w:beforeLines="40" w:before="96" w:afterLines="40" w:after="96" w:line="24" w:lineRule="atLeast"/>
              <w:textAlignment w:val="baseline"/>
              <w:rPr>
                <w:rFonts w:eastAsia="Times New Roman"/>
                <w:sz w:val="18"/>
                <w:szCs w:val="18"/>
                <w:lang w:val="en-GB" w:eastAsia="en-GB"/>
              </w:rPr>
            </w:pPr>
          </w:p>
        </w:tc>
      </w:tr>
      <w:tr w:rsidR="00D8098C" w:rsidRPr="00B853C6" w14:paraId="04B065C7" w14:textId="72F11B68" w:rsidTr="003D447D">
        <w:tc>
          <w:tcPr>
            <w:tcW w:w="587" w:type="dxa"/>
            <w:shd w:val="clear" w:color="auto" w:fill="EEEEEE"/>
          </w:tcPr>
          <w:p w14:paraId="09448E2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60DD29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7B54F10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2A2D83E4" w:rsidR="00D8098C" w:rsidRPr="00A1236D" w:rsidRDefault="007E362C" w:rsidP="0042660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2</w:t>
            </w:r>
          </w:p>
        </w:tc>
        <w:tc>
          <w:tcPr>
            <w:tcW w:w="4320" w:type="dxa"/>
            <w:shd w:val="clear" w:color="auto" w:fill="EEEEEE"/>
          </w:tcPr>
          <w:p w14:paraId="26B556E6" w14:textId="74CED46B" w:rsidR="00D8098C" w:rsidRDefault="007E362C" w:rsidP="00426603">
            <w:pPr>
              <w:spacing w:beforeLines="40" w:before="96" w:afterLines="40" w:after="96" w:line="24" w:lineRule="atLeast"/>
              <w:rPr>
                <w:rFonts w:eastAsia="Times New Roman"/>
                <w:sz w:val="18"/>
                <w:szCs w:val="18"/>
                <w:lang w:val="en-GB" w:eastAsia="en-GB"/>
              </w:rPr>
            </w:pPr>
            <w:r w:rsidRPr="007E362C">
              <w:rPr>
                <w:rFonts w:eastAsia="Times New Roman"/>
                <w:sz w:val="18"/>
                <w:szCs w:val="18"/>
                <w:lang w:val="en-GB" w:eastAsia="en-GB"/>
              </w:rPr>
              <w:t>From the pooled GWAS datasets, we first identified SNPs strongly associated with cognitive performance (P&lt;5*10-8). We then used a reference set of 1000 genomes from a European population to rule out linkage disequilibrium between these SNPs (r2&lt;0.001 and clump window&gt;10,000 kb). Palindromic SNPs were manually eliminated. Following these procedures, the remaining SNPs were used as instrumental variables. To reduce weak instrument bias (F&gt;10), we also employed the F-statistic (F=β2/se2) to assess the statistical efficacy of the SNPs and exclude those with poor statistical efficacy</w:t>
            </w:r>
            <w:r>
              <w:rPr>
                <w:rFonts w:eastAsia="Times New Roman"/>
                <w:sz w:val="18"/>
                <w:szCs w:val="18"/>
                <w:lang w:val="en-GB" w:eastAsia="en-GB"/>
              </w:rPr>
              <w:t>.</w:t>
            </w:r>
          </w:p>
        </w:tc>
      </w:tr>
      <w:tr w:rsidR="00D8098C" w:rsidRPr="00B853C6" w14:paraId="215DDE8E" w14:textId="5C8C984B" w:rsidTr="003D447D">
        <w:tc>
          <w:tcPr>
            <w:tcW w:w="587" w:type="dxa"/>
            <w:shd w:val="clear" w:color="auto" w:fill="auto"/>
          </w:tcPr>
          <w:p w14:paraId="7E3D460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FB55AD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B6B6065"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2F299DD7" w:rsidR="00D8098C" w:rsidRPr="00A1236D" w:rsidRDefault="007E362C" w:rsidP="00426603">
            <w:pPr>
              <w:spacing w:beforeLines="40" w:before="96" w:afterLines="40" w:after="96" w:line="24" w:lineRule="atLeast"/>
              <w:textAlignment w:val="baseline"/>
              <w:rPr>
                <w:rFonts w:eastAsia="Times New Roman"/>
                <w:sz w:val="18"/>
                <w:szCs w:val="18"/>
                <w:shd w:val="clear" w:color="auto" w:fill="FFFFFF"/>
                <w:lang w:val="en-GB" w:eastAsia="en-GB"/>
              </w:rPr>
            </w:pPr>
            <w:r>
              <w:rPr>
                <w:rFonts w:eastAsia="Times New Roman" w:hint="eastAsia"/>
                <w:sz w:val="18"/>
                <w:szCs w:val="18"/>
                <w:shd w:val="clear" w:color="auto" w:fill="FFFFFF"/>
                <w:lang w:val="en-GB" w:eastAsia="en-GB"/>
              </w:rPr>
              <w:t>2</w:t>
            </w:r>
          </w:p>
        </w:tc>
        <w:tc>
          <w:tcPr>
            <w:tcW w:w="4320" w:type="dxa"/>
          </w:tcPr>
          <w:p w14:paraId="18BB4B57" w14:textId="7284A7A4" w:rsidR="00D8098C" w:rsidRDefault="007E362C" w:rsidP="007E362C">
            <w:pPr>
              <w:spacing w:beforeLines="40" w:before="96" w:afterLines="40" w:after="96" w:line="24" w:lineRule="atLeast"/>
              <w:rPr>
                <w:rFonts w:eastAsia="Times New Roman"/>
                <w:sz w:val="18"/>
                <w:szCs w:val="18"/>
                <w:shd w:val="clear" w:color="auto" w:fill="FFFFFF"/>
                <w:lang w:val="en-GB" w:eastAsia="en-GB"/>
              </w:rPr>
            </w:pPr>
            <w:r w:rsidRPr="007E362C">
              <w:rPr>
                <w:rFonts w:eastAsia="Times New Roman"/>
                <w:sz w:val="18"/>
                <w:szCs w:val="18"/>
                <w:lang w:val="en-GB" w:eastAsia="en-GB"/>
              </w:rPr>
              <w:t xml:space="preserve">The largest publicly accessible GWAS dataset, which includes 257,841 participants of European ancestry, provides summary data on cognitive performance. The summary dataset for the associations between SNPs and meniscal derangement was retrieved by searching GWAS ID: finn-b-M13_MENISCUSDERANGEMENTS on the website </w:t>
            </w:r>
            <w:hyperlink r:id="rId11" w:tgtFrame="_new" w:history="1">
              <w:r w:rsidRPr="007E362C">
                <w:rPr>
                  <w:rFonts w:eastAsia="Times New Roman"/>
                  <w:sz w:val="18"/>
                  <w:szCs w:val="18"/>
                  <w:lang w:val="en-GB" w:eastAsia="en-GB"/>
                </w:rPr>
                <w:t>https://gwas.mrcieu.ac.uk/</w:t>
              </w:r>
            </w:hyperlink>
            <w:r w:rsidRPr="007E362C">
              <w:rPr>
                <w:rFonts w:eastAsia="Times New Roman"/>
                <w:sz w:val="18"/>
                <w:szCs w:val="18"/>
                <w:lang w:val="en-GB" w:eastAsia="en-GB"/>
              </w:rPr>
              <w:t xml:space="preserve"> (accessed on June 6, 2024).</w:t>
            </w:r>
          </w:p>
        </w:tc>
      </w:tr>
      <w:tr w:rsidR="00D8098C" w:rsidRPr="00B853C6" w14:paraId="69A6C8B1" w14:textId="39D94CE4" w:rsidTr="003D447D">
        <w:tc>
          <w:tcPr>
            <w:tcW w:w="587" w:type="dxa"/>
            <w:shd w:val="clear" w:color="auto" w:fill="EEEEEE"/>
          </w:tcPr>
          <w:p w14:paraId="292FBB9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3C46B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EEEEEE"/>
          </w:tcPr>
          <w:p w14:paraId="4E713FBB"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7530F3D1" w:rsidR="00D8098C" w:rsidRPr="00A1236D" w:rsidRDefault="007E362C" w:rsidP="00426603">
            <w:pPr>
              <w:spacing w:beforeLines="40" w:before="96" w:afterLines="40" w:after="96" w:line="24" w:lineRule="atLeast"/>
              <w:textAlignment w:val="baseline"/>
              <w:rPr>
                <w:rFonts w:eastAsia="Times New Roman"/>
                <w:sz w:val="18"/>
                <w:szCs w:val="18"/>
                <w:shd w:val="clear" w:color="auto" w:fill="FFFFFF"/>
                <w:lang w:val="en-GB" w:eastAsia="en-GB"/>
              </w:rPr>
            </w:pPr>
            <w:r>
              <w:rPr>
                <w:rFonts w:eastAsia="Times New Roman" w:hint="eastAsia"/>
                <w:sz w:val="18"/>
                <w:szCs w:val="18"/>
                <w:shd w:val="clear" w:color="auto" w:fill="FFFFFF"/>
                <w:lang w:val="en-GB" w:eastAsia="en-GB"/>
              </w:rPr>
              <w:t>2</w:t>
            </w:r>
          </w:p>
        </w:tc>
        <w:tc>
          <w:tcPr>
            <w:tcW w:w="4320" w:type="dxa"/>
            <w:shd w:val="clear" w:color="auto" w:fill="EEEEEE"/>
          </w:tcPr>
          <w:p w14:paraId="6067A95B" w14:textId="1F4F04D9" w:rsidR="00D8098C" w:rsidRPr="007E362C" w:rsidRDefault="007E362C" w:rsidP="00426603">
            <w:pPr>
              <w:spacing w:beforeLines="40" w:before="96" w:afterLines="40" w:after="96" w:line="24" w:lineRule="atLeast"/>
              <w:textAlignment w:val="baseline"/>
              <w:rPr>
                <w:rFonts w:ascii="宋体" w:eastAsia="宋体" w:hAnsi="宋体" w:cs="宋体" w:hint="eastAsia"/>
                <w:sz w:val="18"/>
                <w:szCs w:val="18"/>
                <w:shd w:val="clear" w:color="auto" w:fill="FFFFFF"/>
                <w:lang w:val="en-US" w:eastAsia="zh-CN"/>
              </w:rPr>
            </w:pPr>
            <w:r w:rsidRPr="007E362C">
              <w:rPr>
                <w:rFonts w:eastAsia="Times New Roman"/>
                <w:sz w:val="18"/>
                <w:szCs w:val="18"/>
                <w:shd w:val="clear" w:color="auto" w:fill="FFFFFF"/>
                <w:lang w:val="en-GB" w:eastAsia="zh-CN"/>
              </w:rPr>
              <w:t>All the data from the public database</w:t>
            </w:r>
            <w:r>
              <w:rPr>
                <w:rFonts w:eastAsia="Times New Roman"/>
                <w:sz w:val="18"/>
                <w:szCs w:val="18"/>
                <w:shd w:val="clear" w:color="auto" w:fill="FFFFFF"/>
                <w:lang w:val="en-US" w:eastAsia="zh-CN"/>
              </w:rPr>
              <w:t>.</w:t>
            </w:r>
          </w:p>
        </w:tc>
      </w:tr>
      <w:tr w:rsidR="00D8098C" w:rsidRPr="00B853C6" w14:paraId="23EA53EC" w14:textId="1D3E4E77" w:rsidTr="003D447D">
        <w:tc>
          <w:tcPr>
            <w:tcW w:w="587" w:type="dxa"/>
            <w:shd w:val="clear" w:color="auto" w:fill="auto"/>
          </w:tcPr>
          <w:p w14:paraId="3E6E0D6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822" w:type="dxa"/>
            <w:shd w:val="clear" w:color="auto" w:fill="auto"/>
          </w:tcPr>
          <w:p w14:paraId="1F0455B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D8098C" w:rsidRPr="00F0337F" w:rsidRDefault="00D8098C" w:rsidP="00426603">
            <w:pPr>
              <w:spacing w:beforeLines="40" w:before="96" w:afterLines="40" w:after="96" w:line="24" w:lineRule="atLeast"/>
              <w:jc w:val="center"/>
              <w:rPr>
                <w:rFonts w:eastAsia="Cambria"/>
                <w:sz w:val="18"/>
                <w:szCs w:val="18"/>
                <w:lang w:val="en-GB" w:eastAsia="en-US"/>
              </w:rPr>
            </w:pPr>
          </w:p>
        </w:tc>
        <w:tc>
          <w:tcPr>
            <w:tcW w:w="7041" w:type="dxa"/>
            <w:shd w:val="clear" w:color="auto" w:fill="auto"/>
          </w:tcPr>
          <w:p w14:paraId="5139727F" w14:textId="77777777" w:rsidR="00D8098C" w:rsidRPr="00A1236D" w:rsidRDefault="00D8098C" w:rsidP="00426603">
            <w:pPr>
              <w:spacing w:beforeLines="40" w:before="96" w:afterLines="40" w:after="96" w:line="24" w:lineRule="atLeast"/>
              <w:rPr>
                <w:rFonts w:eastAsia="Times New Roman"/>
                <w:sz w:val="18"/>
                <w:szCs w:val="18"/>
                <w:lang w:val="en-GB" w:eastAsia="en-GB"/>
              </w:rPr>
            </w:pPr>
            <w:bookmarkStart w:id="0" w:name="OLE_LINK1"/>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bookmarkEnd w:id="0"/>
          </w:p>
        </w:tc>
        <w:tc>
          <w:tcPr>
            <w:tcW w:w="720" w:type="dxa"/>
          </w:tcPr>
          <w:p w14:paraId="6A2AE76D" w14:textId="72069800" w:rsidR="00D8098C" w:rsidRPr="00A1236D" w:rsidRDefault="007E362C" w:rsidP="0042660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2</w:t>
            </w:r>
          </w:p>
        </w:tc>
        <w:tc>
          <w:tcPr>
            <w:tcW w:w="4320" w:type="dxa"/>
          </w:tcPr>
          <w:p w14:paraId="7A54DE1B" w14:textId="59C02A63" w:rsidR="00D8098C" w:rsidRDefault="007E362C" w:rsidP="00426603">
            <w:pPr>
              <w:spacing w:beforeLines="40" w:before="96" w:afterLines="40" w:after="96" w:line="24" w:lineRule="atLeast"/>
              <w:rPr>
                <w:rFonts w:eastAsia="Times New Roman"/>
                <w:sz w:val="18"/>
                <w:szCs w:val="18"/>
                <w:lang w:val="en-GB" w:eastAsia="en-GB"/>
              </w:rPr>
            </w:pPr>
            <w:r w:rsidRPr="007E362C">
              <w:rPr>
                <w:rFonts w:eastAsia="Times New Roman"/>
                <w:sz w:val="18"/>
                <w:szCs w:val="18"/>
                <w:lang w:val="en-GB" w:eastAsia="en-GB"/>
              </w:rPr>
              <w:t>For the MR analysis to be valid, three fundamental assumptions must be met: First, the selected SNPs should be significantly associated with cognitive performance. Second, these SNPs must not be linked to any potential confounders that could affect the association between cognitive performance and meniscal injuries. Finally, the SNPs should not be directly associated with the injury itself, ensuring that any causal inference is mediated exclusively through cognitive performance.</w:t>
            </w:r>
          </w:p>
        </w:tc>
      </w:tr>
      <w:tr w:rsidR="00D8098C" w:rsidRPr="00B853C6" w14:paraId="6209F8C8" w14:textId="78A53B40" w:rsidTr="003D447D">
        <w:tc>
          <w:tcPr>
            <w:tcW w:w="587" w:type="dxa"/>
            <w:shd w:val="clear" w:color="auto" w:fill="EEEEEE"/>
          </w:tcPr>
          <w:p w14:paraId="6FA239C8"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6</w:t>
            </w:r>
          </w:p>
        </w:tc>
        <w:tc>
          <w:tcPr>
            <w:tcW w:w="1822" w:type="dxa"/>
            <w:shd w:val="clear" w:color="auto" w:fill="EEEEEE"/>
          </w:tcPr>
          <w:p w14:paraId="3D8F9E93"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7041" w:type="dxa"/>
            <w:shd w:val="clear" w:color="auto" w:fill="EEEEEE"/>
          </w:tcPr>
          <w:p w14:paraId="49C33D0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20" w:type="dxa"/>
            <w:shd w:val="clear" w:color="auto" w:fill="EEEEEE"/>
          </w:tcPr>
          <w:p w14:paraId="0D1191BA"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5DF0C4B"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4346E621" w14:textId="11B8B572" w:rsidTr="003D447D">
        <w:tc>
          <w:tcPr>
            <w:tcW w:w="587" w:type="dxa"/>
            <w:shd w:val="clear" w:color="auto" w:fill="auto"/>
          </w:tcPr>
          <w:p w14:paraId="339A016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3635743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3BB90022"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20" w:type="dxa"/>
          </w:tcPr>
          <w:p w14:paraId="22720A53" w14:textId="004F5D44" w:rsidR="00D8098C" w:rsidRPr="00A1236D" w:rsidRDefault="0003168A" w:rsidP="0042660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2</w:t>
            </w:r>
          </w:p>
        </w:tc>
        <w:tc>
          <w:tcPr>
            <w:tcW w:w="4320" w:type="dxa"/>
          </w:tcPr>
          <w:p w14:paraId="76159846" w14:textId="134CBCAF" w:rsidR="00D8098C" w:rsidRDefault="0003168A" w:rsidP="00426603">
            <w:pPr>
              <w:spacing w:beforeLines="40" w:before="96" w:afterLines="40" w:after="96" w:line="24" w:lineRule="atLeast"/>
              <w:rPr>
                <w:rFonts w:eastAsia="Times New Roman"/>
                <w:sz w:val="18"/>
                <w:szCs w:val="18"/>
                <w:lang w:val="en-GB" w:eastAsia="en-GB"/>
              </w:rPr>
            </w:pPr>
            <w:r w:rsidRPr="0003168A">
              <w:rPr>
                <w:rFonts w:eastAsia="Times New Roman"/>
                <w:sz w:val="18"/>
                <w:szCs w:val="18"/>
                <w:lang w:val="en-GB" w:eastAsia="en-GB"/>
              </w:rPr>
              <w:t xml:space="preserve">This GWAS is the latest regarding meniscal derangement and was updated in 2021. It includes 13,568 cases of meniscal derangement and </w:t>
            </w:r>
            <w:r w:rsidRPr="0003168A">
              <w:rPr>
                <w:rFonts w:eastAsia="Times New Roman"/>
                <w:sz w:val="18"/>
                <w:szCs w:val="18"/>
                <w:lang w:val="en-GB" w:eastAsia="en-GB"/>
              </w:rPr>
              <w:lastRenderedPageBreak/>
              <w:t>147,221 controls, with a total of 16,380,200 SNPs tested. All participants are of European ancestry.</w:t>
            </w:r>
          </w:p>
        </w:tc>
      </w:tr>
      <w:tr w:rsidR="00D8098C" w:rsidRPr="00B853C6" w14:paraId="642A4D4B" w14:textId="4880F3BA" w:rsidTr="003D447D">
        <w:tc>
          <w:tcPr>
            <w:tcW w:w="587" w:type="dxa"/>
            <w:shd w:val="clear" w:color="auto" w:fill="EEEEEE"/>
          </w:tcPr>
          <w:p w14:paraId="11F7484C"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69D49F3"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6B2ACDE9"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7FB9A8E8" w:rsidR="00D8098C" w:rsidRPr="00A1236D" w:rsidRDefault="0003168A" w:rsidP="0042660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2</w:t>
            </w:r>
          </w:p>
        </w:tc>
        <w:tc>
          <w:tcPr>
            <w:tcW w:w="4320" w:type="dxa"/>
            <w:shd w:val="clear" w:color="auto" w:fill="EEEEEE"/>
          </w:tcPr>
          <w:p w14:paraId="1612F89F" w14:textId="7EDCDB17" w:rsidR="00D8098C" w:rsidRDefault="003325E9" w:rsidP="00426603">
            <w:pPr>
              <w:spacing w:beforeLines="40" w:before="96" w:afterLines="40" w:after="96" w:line="24" w:lineRule="atLeast"/>
              <w:rPr>
                <w:rFonts w:eastAsia="Times New Roman"/>
                <w:sz w:val="18"/>
                <w:szCs w:val="18"/>
                <w:lang w:val="en-GB" w:eastAsia="en-GB"/>
              </w:rPr>
            </w:pPr>
            <w:r w:rsidRPr="0003168A">
              <w:rPr>
                <w:rFonts w:eastAsia="Times New Roman"/>
                <w:sz w:val="18"/>
                <w:szCs w:val="18"/>
                <w:lang w:val="en-GB" w:eastAsia="en-GB"/>
              </w:rPr>
              <w:t>From the pooled GWAS datasets, we first identified SNPs strongly associated with cognitive performance (P&lt;5*10-8). We then used a reference set of 1000 genomes from a European population to rule out linkage disequilibrium between these SNPs (r2&lt;0.001 and clump window&gt;10,000 kb).</w:t>
            </w:r>
          </w:p>
        </w:tc>
      </w:tr>
      <w:tr w:rsidR="00D8098C" w:rsidRPr="0003168A" w14:paraId="70378831" w14:textId="0868B0A4" w:rsidTr="003D447D">
        <w:tc>
          <w:tcPr>
            <w:tcW w:w="587" w:type="dxa"/>
            <w:shd w:val="clear" w:color="auto" w:fill="auto"/>
          </w:tcPr>
          <w:p w14:paraId="45E414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9F665E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CB03D96"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74378481" w:rsidR="00D8098C" w:rsidRPr="00A1236D" w:rsidRDefault="0003168A" w:rsidP="0042660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2</w:t>
            </w:r>
          </w:p>
        </w:tc>
        <w:tc>
          <w:tcPr>
            <w:tcW w:w="4320" w:type="dxa"/>
          </w:tcPr>
          <w:p w14:paraId="10E331B1" w14:textId="39310F69" w:rsidR="0003168A" w:rsidRPr="0003168A" w:rsidRDefault="007216F4" w:rsidP="0003168A">
            <w:pPr>
              <w:spacing w:beforeLines="40" w:before="96" w:afterLines="40" w:after="96" w:line="24" w:lineRule="atLeast"/>
              <w:rPr>
                <w:rFonts w:eastAsia="Times New Roman"/>
                <w:sz w:val="18"/>
                <w:szCs w:val="18"/>
                <w:lang w:val="en-GB" w:eastAsia="en-GB"/>
              </w:rPr>
            </w:pPr>
            <w:r w:rsidRPr="007216F4">
              <w:rPr>
                <w:rFonts w:eastAsia="Times New Roman"/>
                <w:sz w:val="18"/>
                <w:szCs w:val="18"/>
                <w:lang w:val="en-GB" w:eastAsia="en-GB"/>
              </w:rPr>
              <w:t>All statistical analyses were conducted using R software (version 2024.04.1) with the Two Sample MR (0.6.3) and Mendelian Randomization (0.6.3)packages</w:t>
            </w:r>
            <w:r w:rsidR="0003168A" w:rsidRPr="0003168A">
              <w:rPr>
                <w:rFonts w:eastAsia="Times New Roman"/>
                <w:sz w:val="18"/>
                <w:szCs w:val="18"/>
                <w:lang w:val="en-GB" w:eastAsia="en-GB"/>
              </w:rPr>
              <w:t>, along with the MR-PRESSO package. P-values were two-tailed throughout. Odds ratios (ORs) and the corresponding 95% confidence intervals (95%CIs) for meniscal injuries were scaled per one-unit increase in genetically predicted exposure levels to cognitive performance. F-statistics for each exposure were calculated using the previously outlined approximation method.</w:t>
            </w:r>
          </w:p>
          <w:p w14:paraId="334D44EB" w14:textId="77777777" w:rsidR="00D8098C" w:rsidRPr="0003168A" w:rsidRDefault="00D8098C" w:rsidP="0003168A">
            <w:pPr>
              <w:spacing w:beforeLines="40" w:before="96" w:afterLines="40" w:after="96" w:line="24" w:lineRule="atLeast"/>
              <w:rPr>
                <w:rFonts w:eastAsia="Times New Roman"/>
                <w:sz w:val="18"/>
                <w:szCs w:val="18"/>
                <w:lang w:val="en-GB" w:eastAsia="en-GB"/>
              </w:rPr>
            </w:pPr>
          </w:p>
        </w:tc>
      </w:tr>
      <w:tr w:rsidR="00D8098C" w:rsidRPr="00B853C6" w14:paraId="0D8F3A7E" w14:textId="14623463" w:rsidTr="003D447D">
        <w:tc>
          <w:tcPr>
            <w:tcW w:w="587" w:type="dxa"/>
            <w:shd w:val="clear" w:color="auto" w:fill="EEEEEE"/>
          </w:tcPr>
          <w:p w14:paraId="1D70C4C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0A3AAFD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08786389" w14:textId="77777777" w:rsidR="00D8098C" w:rsidRPr="00A1236D" w:rsidRDefault="00D8098C" w:rsidP="00426603">
            <w:pPr>
              <w:spacing w:beforeLines="40" w:before="96" w:afterLines="40" w:after="96" w:line="24" w:lineRule="atLeast"/>
              <w:rPr>
                <w:rFonts w:eastAsia="Times New Roman"/>
                <w:sz w:val="18"/>
                <w:szCs w:val="18"/>
                <w:lang w:val="en-GB" w:eastAsia="en-GB"/>
              </w:rPr>
            </w:pPr>
            <w:bookmarkStart w:id="1" w:name="OLE_LINK3"/>
            <w:r w:rsidRPr="00A1236D">
              <w:rPr>
                <w:rFonts w:eastAsia="Times New Roman"/>
                <w:sz w:val="18"/>
                <w:szCs w:val="18"/>
                <w:lang w:val="en-GB" w:eastAsia="en-GB"/>
              </w:rPr>
              <w:t xml:space="preserve">Explain how </w:t>
            </w:r>
            <w:bookmarkStart w:id="2" w:name="OLE_LINK2"/>
            <w:r w:rsidRPr="00A1236D">
              <w:rPr>
                <w:rFonts w:eastAsia="Times New Roman"/>
                <w:sz w:val="18"/>
                <w:szCs w:val="18"/>
                <w:lang w:val="en-GB" w:eastAsia="en-GB"/>
              </w:rPr>
              <w:t>missing data</w:t>
            </w:r>
            <w:bookmarkEnd w:id="2"/>
            <w:r w:rsidRPr="00A1236D">
              <w:rPr>
                <w:rFonts w:eastAsia="Times New Roman"/>
                <w:sz w:val="18"/>
                <w:szCs w:val="18"/>
                <w:lang w:val="en-GB" w:eastAsia="en-GB"/>
              </w:rPr>
              <w:t xml:space="preserve"> were addressed</w:t>
            </w:r>
            <w:bookmarkEnd w:id="1"/>
          </w:p>
        </w:tc>
        <w:tc>
          <w:tcPr>
            <w:tcW w:w="720" w:type="dxa"/>
            <w:shd w:val="clear" w:color="auto" w:fill="EEEEEE"/>
          </w:tcPr>
          <w:p w14:paraId="297C3632" w14:textId="7C55838C" w:rsidR="00D8098C" w:rsidRPr="00A1236D" w:rsidRDefault="001A1770" w:rsidP="00426603">
            <w:pPr>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t>3</w:t>
            </w:r>
          </w:p>
        </w:tc>
        <w:tc>
          <w:tcPr>
            <w:tcW w:w="4320" w:type="dxa"/>
            <w:shd w:val="clear" w:color="auto" w:fill="EEEEEE"/>
          </w:tcPr>
          <w:p w14:paraId="16808665" w14:textId="75180C9A" w:rsidR="00D8098C" w:rsidRDefault="001A1770" w:rsidP="00426603">
            <w:pPr>
              <w:spacing w:beforeLines="40" w:before="96" w:afterLines="40" w:after="96" w:line="24" w:lineRule="atLeast"/>
              <w:rPr>
                <w:rFonts w:eastAsia="Times New Roman"/>
                <w:sz w:val="18"/>
                <w:szCs w:val="18"/>
                <w:lang w:val="en-GB" w:eastAsia="en-GB"/>
              </w:rPr>
            </w:pPr>
            <w:r w:rsidRPr="001A1770">
              <w:rPr>
                <w:rFonts w:eastAsia="Times New Roman"/>
                <w:sz w:val="18"/>
                <w:szCs w:val="18"/>
                <w:lang w:val="en-GB" w:eastAsia="en-GB"/>
              </w:rPr>
              <w:t>To evaluate the missing data influence on the results of the study, we conducted a sensitivity analysis. Different methods for handling missing data were compared to ensure the robustness and confidence of the final results.</w:t>
            </w:r>
          </w:p>
        </w:tc>
      </w:tr>
      <w:tr w:rsidR="00D8098C" w:rsidRPr="00B853C6" w14:paraId="77F037B8" w14:textId="6696FA54" w:rsidTr="003D447D">
        <w:tc>
          <w:tcPr>
            <w:tcW w:w="587" w:type="dxa"/>
            <w:shd w:val="clear" w:color="auto" w:fill="auto"/>
          </w:tcPr>
          <w:p w14:paraId="4AC39E5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D9E035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auto"/>
          </w:tcPr>
          <w:p w14:paraId="41F1E52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20" w:type="dxa"/>
          </w:tcPr>
          <w:p w14:paraId="6B5C4982"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490E44D4" w14:textId="04F8A5AD" w:rsidR="00D8098C" w:rsidRDefault="001A1770" w:rsidP="00426603">
            <w:pPr>
              <w:spacing w:beforeLines="40" w:before="96" w:afterLines="40" w:after="96" w:line="24" w:lineRule="atLeast"/>
              <w:rPr>
                <w:rFonts w:eastAsia="Times New Roman"/>
                <w:sz w:val="18"/>
                <w:szCs w:val="18"/>
                <w:lang w:val="en-GB" w:eastAsia="en-GB"/>
              </w:rPr>
            </w:pPr>
            <w:r w:rsidRPr="001A1770">
              <w:rPr>
                <w:rFonts w:eastAsia="Times New Roman"/>
                <w:sz w:val="18"/>
                <w:szCs w:val="18"/>
                <w:lang w:val="en-GB" w:eastAsia="en-GB"/>
              </w:rPr>
              <w:t>Only one variable</w:t>
            </w:r>
            <w:r>
              <w:rPr>
                <w:rFonts w:eastAsia="Times New Roman"/>
                <w:sz w:val="18"/>
                <w:szCs w:val="18"/>
                <w:lang w:val="en-GB" w:eastAsia="en-GB"/>
              </w:rPr>
              <w:t xml:space="preserve"> </w:t>
            </w:r>
            <w:r>
              <w:rPr>
                <w:rFonts w:eastAsia="Times New Roman" w:hint="eastAsia"/>
                <w:sz w:val="18"/>
                <w:szCs w:val="18"/>
                <w:lang w:val="en-GB" w:eastAsia="en-GB"/>
              </w:rPr>
              <w:t>(</w:t>
            </w:r>
            <w:r w:rsidRPr="001A1770">
              <w:rPr>
                <w:rFonts w:eastAsia="Times New Roman"/>
                <w:sz w:val="18"/>
                <w:szCs w:val="18"/>
                <w:lang w:val="en-GB" w:eastAsia="en-GB"/>
              </w:rPr>
              <w:t>cognitive performance</w:t>
            </w:r>
            <w:r>
              <w:rPr>
                <w:rFonts w:eastAsia="Times New Roman" w:hint="eastAsia"/>
                <w:sz w:val="18"/>
                <w:szCs w:val="18"/>
                <w:lang w:val="en-GB" w:eastAsia="en-GB"/>
              </w:rPr>
              <w:t>)</w:t>
            </w:r>
            <w:r w:rsidRPr="001A1770">
              <w:rPr>
                <w:rFonts w:eastAsia="Times New Roman"/>
                <w:sz w:val="18"/>
                <w:szCs w:val="18"/>
                <w:lang w:val="en-GB" w:eastAsia="en-GB"/>
              </w:rPr>
              <w:t xml:space="preserve"> is studied in this paper</w:t>
            </w:r>
            <w:r>
              <w:rPr>
                <w:rFonts w:eastAsia="Times New Roman"/>
                <w:sz w:val="18"/>
                <w:szCs w:val="18"/>
                <w:lang w:val="en-GB" w:eastAsia="en-GB"/>
              </w:rPr>
              <w:t>.</w:t>
            </w:r>
          </w:p>
        </w:tc>
      </w:tr>
      <w:tr w:rsidR="00D8098C" w:rsidRPr="00B853C6" w14:paraId="585043CE" w14:textId="4922F612" w:rsidTr="003D447D">
        <w:tc>
          <w:tcPr>
            <w:tcW w:w="587" w:type="dxa"/>
            <w:shd w:val="clear" w:color="auto" w:fill="EEEEEE"/>
          </w:tcPr>
          <w:p w14:paraId="55967D0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22" w:type="dxa"/>
            <w:shd w:val="clear" w:color="auto" w:fill="EEEEEE"/>
          </w:tcPr>
          <w:p w14:paraId="0947B164"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1E6D0B1E" w14:textId="77777777" w:rsidR="00D8098C" w:rsidRPr="00A1236D" w:rsidRDefault="00D8098C" w:rsidP="00426603">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20" w:type="dxa"/>
            <w:shd w:val="clear" w:color="auto" w:fill="EEEEEE"/>
          </w:tcPr>
          <w:p w14:paraId="61C50F74" w14:textId="7E3FAA03" w:rsidR="00D8098C" w:rsidRPr="00A1236D" w:rsidRDefault="001A1770" w:rsidP="00426603">
            <w:pPr>
              <w:tabs>
                <w:tab w:val="left" w:pos="1620"/>
              </w:tabs>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w:t>
            </w:r>
            <w:r>
              <w:rPr>
                <w:rFonts w:eastAsia="Times New Roman" w:hint="eastAsia"/>
                <w:sz w:val="18"/>
                <w:szCs w:val="18"/>
                <w:lang w:val="en-GB" w:eastAsia="en-GB"/>
              </w:rPr>
              <w:t>2</w:t>
            </w:r>
          </w:p>
        </w:tc>
        <w:tc>
          <w:tcPr>
            <w:tcW w:w="4320" w:type="dxa"/>
            <w:shd w:val="clear" w:color="auto" w:fill="EEEEEE"/>
          </w:tcPr>
          <w:p w14:paraId="289D51AA" w14:textId="6F650E24" w:rsidR="001A1770" w:rsidRDefault="001A1770" w:rsidP="001A1770">
            <w:pPr>
              <w:spacing w:beforeLines="40" w:before="96" w:afterLines="40" w:after="96" w:line="24" w:lineRule="atLeast"/>
              <w:rPr>
                <w:rFonts w:eastAsia="Times New Roman"/>
                <w:sz w:val="18"/>
                <w:szCs w:val="18"/>
                <w:lang w:val="en-GB" w:eastAsia="en-GB"/>
              </w:rPr>
            </w:pPr>
            <w:r w:rsidRPr="001A1770">
              <w:rPr>
                <w:rFonts w:eastAsia="Times New Roman"/>
                <w:sz w:val="18"/>
                <w:szCs w:val="18"/>
                <w:lang w:val="en-GB" w:eastAsia="en-GB"/>
              </w:rPr>
              <w:t>R</w:t>
            </w:r>
            <w:r w:rsidRPr="001A1770">
              <w:rPr>
                <w:rFonts w:eastAsia="Times New Roman"/>
                <w:sz w:val="18"/>
                <w:szCs w:val="18"/>
                <w:lang w:val="en-GB" w:eastAsia="en-GB"/>
              </w:rPr>
              <w:t>esearch on the relationship cognitive performance and meniscal injuries is lacking</w:t>
            </w:r>
            <w:r w:rsidRPr="001A1770">
              <w:rPr>
                <w:rFonts w:eastAsia="Times New Roman"/>
                <w:sz w:val="18"/>
                <w:szCs w:val="18"/>
                <w:lang w:val="en-GB" w:eastAsia="en-GB"/>
              </w:rPr>
              <w:t>.</w:t>
            </w:r>
          </w:p>
          <w:p w14:paraId="5D46DB2B" w14:textId="385B7B7E" w:rsidR="00D8098C" w:rsidRDefault="001A1770" w:rsidP="001A1770">
            <w:pPr>
              <w:spacing w:beforeLines="40" w:before="96" w:afterLines="40" w:after="96" w:line="24" w:lineRule="atLeast"/>
              <w:rPr>
                <w:rFonts w:eastAsia="Times New Roman"/>
                <w:sz w:val="18"/>
                <w:szCs w:val="18"/>
                <w:lang w:val="en-GB" w:eastAsia="en-GB"/>
              </w:rPr>
            </w:pPr>
            <w:r w:rsidRPr="001A1770">
              <w:rPr>
                <w:rFonts w:eastAsia="Times New Roman"/>
                <w:sz w:val="18"/>
                <w:szCs w:val="18"/>
                <w:lang w:val="en-GB" w:eastAsia="en-GB"/>
              </w:rPr>
              <w:t>To reduce weak instrument bias (F&gt;10), we also employed the F-statistic (F=β2/se2) to assess the statistical efficacy of the SNPs and exclude those with poor statistical efficacy</w:t>
            </w:r>
            <w:r w:rsidRPr="001A1770">
              <w:rPr>
                <w:rFonts w:eastAsia="Times New Roman"/>
                <w:sz w:val="18"/>
                <w:szCs w:val="18"/>
                <w:lang w:val="en-GB" w:eastAsia="en-GB"/>
              </w:rPr>
              <w:t>.</w:t>
            </w:r>
          </w:p>
        </w:tc>
      </w:tr>
      <w:tr w:rsidR="00D8098C" w:rsidRPr="00B853C6" w14:paraId="383932D9" w14:textId="2C1AFE56" w:rsidTr="003D447D">
        <w:tc>
          <w:tcPr>
            <w:tcW w:w="587" w:type="dxa"/>
            <w:shd w:val="clear" w:color="auto" w:fill="auto"/>
          </w:tcPr>
          <w:p w14:paraId="1A4621B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822" w:type="dxa"/>
            <w:shd w:val="clear" w:color="auto" w:fill="auto"/>
          </w:tcPr>
          <w:p w14:paraId="0F88F25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7041" w:type="dxa"/>
            <w:shd w:val="clear" w:color="auto" w:fill="auto"/>
          </w:tcPr>
          <w:p w14:paraId="13C6445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776F41BC" w14:textId="77777777" w:rsidR="00D8098C" w:rsidRDefault="00D8098C" w:rsidP="00426603">
            <w:pPr>
              <w:spacing w:beforeLines="40" w:before="96" w:afterLines="40" w:after="96" w:line="24" w:lineRule="atLeast"/>
              <w:rPr>
                <w:rFonts w:eastAsia="Times New Roman"/>
                <w:sz w:val="18"/>
                <w:szCs w:val="18"/>
                <w:lang w:val="en-GB" w:eastAsia="en-GB"/>
              </w:rPr>
            </w:pPr>
          </w:p>
          <w:p w14:paraId="4B9B6FF5" w14:textId="0239C8FB" w:rsidR="007216F4" w:rsidRPr="007216F4" w:rsidRDefault="007216F4" w:rsidP="007216F4">
            <w:pPr>
              <w:rPr>
                <w:rFonts w:eastAsia="Times New Roman"/>
                <w:sz w:val="18"/>
                <w:szCs w:val="18"/>
                <w:lang w:val="en-GB" w:eastAsia="en-GB"/>
              </w:rPr>
            </w:pPr>
            <w:r>
              <w:rPr>
                <w:rFonts w:eastAsia="Times New Roman" w:hint="eastAsia"/>
                <w:sz w:val="18"/>
                <w:szCs w:val="18"/>
                <w:lang w:val="en-GB" w:eastAsia="en-GB"/>
              </w:rPr>
              <w:t>3</w:t>
            </w:r>
          </w:p>
        </w:tc>
        <w:tc>
          <w:tcPr>
            <w:tcW w:w="4320" w:type="dxa"/>
          </w:tcPr>
          <w:p w14:paraId="229BFDFD" w14:textId="050745C2" w:rsidR="00D8098C" w:rsidRDefault="007216F4" w:rsidP="00426603">
            <w:pPr>
              <w:spacing w:beforeLines="40" w:before="96" w:afterLines="40" w:after="96" w:line="24" w:lineRule="atLeast"/>
              <w:rPr>
                <w:rFonts w:eastAsia="Times New Roman"/>
                <w:sz w:val="18"/>
                <w:szCs w:val="18"/>
                <w:lang w:val="en-GB" w:eastAsia="en-GB"/>
              </w:rPr>
            </w:pPr>
            <w:r w:rsidRPr="007216F4">
              <w:rPr>
                <w:rFonts w:eastAsia="Times New Roman"/>
                <w:sz w:val="18"/>
                <w:szCs w:val="18"/>
                <w:lang w:val="en-GB" w:eastAsia="en-GB"/>
              </w:rPr>
              <w:t>a finding corroborated by the weighted median method (OR: 0.81, 95% CI 0.67–0.98; P=3*10-2). Additionally, no pleiotropic effects were detected in our investigation using the MR-Egger intercept and Cochran’s Q test (P&gt;0.05). However, there was heterogeneity among the results (P&gt;0.05).</w:t>
            </w:r>
          </w:p>
        </w:tc>
      </w:tr>
      <w:tr w:rsidR="00D8098C" w:rsidRPr="00B853C6" w14:paraId="55C7A410" w14:textId="0BAB653A" w:rsidTr="003D447D">
        <w:tc>
          <w:tcPr>
            <w:tcW w:w="587" w:type="dxa"/>
            <w:shd w:val="clear" w:color="auto" w:fill="EEEEEE"/>
          </w:tcPr>
          <w:p w14:paraId="056075DE"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9</w:t>
            </w:r>
          </w:p>
        </w:tc>
        <w:tc>
          <w:tcPr>
            <w:tcW w:w="1822" w:type="dxa"/>
            <w:shd w:val="clear" w:color="auto" w:fill="EEEEEE"/>
          </w:tcPr>
          <w:p w14:paraId="6096809E"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7041" w:type="dxa"/>
            <w:shd w:val="clear" w:color="auto" w:fill="EEEEEE"/>
          </w:tcPr>
          <w:p w14:paraId="08D1055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495710C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5EA9EBD1" w14:textId="4D05FA5B" w:rsidTr="003D447D">
        <w:tc>
          <w:tcPr>
            <w:tcW w:w="587" w:type="dxa"/>
            <w:shd w:val="clear" w:color="auto" w:fill="auto"/>
          </w:tcPr>
          <w:p w14:paraId="66EDED80"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BD32B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054FBA47"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20" w:type="dxa"/>
          </w:tcPr>
          <w:p w14:paraId="305BB821" w14:textId="4E4C646C" w:rsidR="00D8098C" w:rsidRPr="00A1236D" w:rsidRDefault="007216F4" w:rsidP="0042660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2</w:t>
            </w:r>
          </w:p>
        </w:tc>
        <w:tc>
          <w:tcPr>
            <w:tcW w:w="4320" w:type="dxa"/>
          </w:tcPr>
          <w:p w14:paraId="79626260" w14:textId="524CBFB9" w:rsidR="00D8098C" w:rsidRDefault="007216F4" w:rsidP="00426603">
            <w:pPr>
              <w:spacing w:beforeLines="40" w:before="96" w:afterLines="40" w:after="96" w:line="24" w:lineRule="atLeast"/>
              <w:rPr>
                <w:rFonts w:eastAsia="Times New Roman"/>
                <w:sz w:val="18"/>
                <w:szCs w:val="18"/>
                <w:lang w:val="en-GB" w:eastAsia="en-GB"/>
              </w:rPr>
            </w:pPr>
            <w:r w:rsidRPr="007216F4">
              <w:rPr>
                <w:rFonts w:eastAsia="Times New Roman"/>
                <w:sz w:val="18"/>
                <w:szCs w:val="18"/>
                <w:lang w:val="en-GB" w:eastAsia="en-GB"/>
              </w:rPr>
              <w:t>All statistical analyses were conducted using R software (version 2024.04.1) with the Two Sample MR (0.6.3) and Mendelian Randomization (0.6.3)packages</w:t>
            </w:r>
            <w:r w:rsidRPr="007216F4">
              <w:rPr>
                <w:rFonts w:eastAsia="Times New Roman"/>
                <w:sz w:val="18"/>
                <w:szCs w:val="18"/>
                <w:lang w:val="en-GB" w:eastAsia="en-GB"/>
              </w:rPr>
              <w:t>.</w:t>
            </w:r>
          </w:p>
        </w:tc>
      </w:tr>
      <w:tr w:rsidR="00D8098C" w:rsidRPr="00B853C6" w14:paraId="6A631D93" w14:textId="2BD5AA8E" w:rsidTr="003D447D">
        <w:tc>
          <w:tcPr>
            <w:tcW w:w="587" w:type="dxa"/>
            <w:tcBorders>
              <w:bottom w:val="single" w:sz="6" w:space="0" w:color="7F7F7F"/>
            </w:tcBorders>
            <w:shd w:val="clear" w:color="auto" w:fill="EEEEEE"/>
          </w:tcPr>
          <w:p w14:paraId="37C8895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2349B55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tcBorders>
              <w:bottom w:val="single" w:sz="6" w:space="0" w:color="7F7F7F"/>
            </w:tcBorders>
            <w:shd w:val="clear" w:color="auto" w:fill="EEEEEE"/>
          </w:tcPr>
          <w:p w14:paraId="5DBE58D7"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3EFCD231" w14:textId="690EDEA0" w:rsidR="00D8098C" w:rsidRDefault="009B439E" w:rsidP="00426603">
            <w:pPr>
              <w:spacing w:beforeLines="40" w:before="96" w:afterLines="40" w:after="96" w:line="24" w:lineRule="atLeast"/>
              <w:rPr>
                <w:rFonts w:eastAsia="Times New Roman"/>
                <w:sz w:val="18"/>
                <w:szCs w:val="18"/>
                <w:lang w:val="en-GB" w:eastAsia="en-GB"/>
              </w:rPr>
            </w:pPr>
            <w:r w:rsidRPr="009B439E">
              <w:rPr>
                <w:rFonts w:eastAsia="Times New Roman"/>
                <w:sz w:val="18"/>
                <w:szCs w:val="18"/>
                <w:lang w:val="en-GB" w:eastAsia="en-GB"/>
              </w:rPr>
              <w:t>unregistered</w:t>
            </w:r>
          </w:p>
        </w:tc>
      </w:tr>
      <w:tr w:rsidR="00D8098C" w:rsidRPr="00B853C6" w14:paraId="040F15E5" w14:textId="3B11C618" w:rsidTr="003D447D">
        <w:tc>
          <w:tcPr>
            <w:tcW w:w="587" w:type="dxa"/>
            <w:tcBorders>
              <w:top w:val="single" w:sz="6" w:space="0" w:color="7F7F7F"/>
            </w:tcBorders>
            <w:shd w:val="clear" w:color="auto" w:fill="auto"/>
          </w:tcPr>
          <w:p w14:paraId="777278B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7D8D653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7041" w:type="dxa"/>
            <w:tcBorders>
              <w:top w:val="single" w:sz="6" w:space="0" w:color="7F7F7F"/>
            </w:tcBorders>
            <w:shd w:val="clear" w:color="auto" w:fill="auto"/>
          </w:tcPr>
          <w:p w14:paraId="3471928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7F47EED" w14:textId="4A481C08" w:rsidTr="003D447D">
        <w:tc>
          <w:tcPr>
            <w:tcW w:w="587" w:type="dxa"/>
            <w:shd w:val="clear" w:color="auto" w:fill="EEEEEE"/>
          </w:tcPr>
          <w:p w14:paraId="51C7A54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822" w:type="dxa"/>
            <w:shd w:val="clear" w:color="auto" w:fill="EEEEEE"/>
          </w:tcPr>
          <w:p w14:paraId="731D0370"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7041" w:type="dxa"/>
            <w:shd w:val="clear" w:color="auto" w:fill="EEEEEE"/>
          </w:tcPr>
          <w:p w14:paraId="3B19CDA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4B684E7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CA228D1" w14:textId="316B6A36" w:rsidTr="003D447D">
        <w:tc>
          <w:tcPr>
            <w:tcW w:w="587" w:type="dxa"/>
            <w:shd w:val="clear" w:color="auto" w:fill="auto"/>
          </w:tcPr>
          <w:p w14:paraId="29B62776"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C1499C8"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4D5C652C" w14:textId="6B5065AC"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sidR="000A4CE8">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20" w:type="dxa"/>
          </w:tcPr>
          <w:p w14:paraId="7AF8CC23" w14:textId="0C179F70" w:rsidR="00D8098C" w:rsidRPr="00A1236D" w:rsidRDefault="00526733"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3</w:t>
            </w:r>
          </w:p>
        </w:tc>
        <w:tc>
          <w:tcPr>
            <w:tcW w:w="4320" w:type="dxa"/>
          </w:tcPr>
          <w:p w14:paraId="00D65497" w14:textId="6CF4F519" w:rsidR="00D8098C" w:rsidRDefault="00526733" w:rsidP="00426603">
            <w:pPr>
              <w:spacing w:beforeLines="40" w:before="96" w:afterLines="40" w:after="96" w:line="24" w:lineRule="atLeast"/>
              <w:rPr>
                <w:rFonts w:eastAsia="Times New Roman"/>
                <w:sz w:val="18"/>
                <w:szCs w:val="18"/>
                <w:lang w:val="en-GB" w:eastAsia="en-GB"/>
              </w:rPr>
            </w:pPr>
            <w:r w:rsidRPr="00526733">
              <w:rPr>
                <w:rFonts w:eastAsia="Times New Roman"/>
                <w:sz w:val="18"/>
                <w:szCs w:val="18"/>
                <w:lang w:val="en-GB" w:eastAsia="en-GB"/>
              </w:rPr>
              <w:t>Following thorough screening, we identified 136 SNPs as IVs for meniscal derangement outcomes.</w:t>
            </w:r>
          </w:p>
        </w:tc>
      </w:tr>
      <w:tr w:rsidR="00526733" w:rsidRPr="00B853C6" w14:paraId="0765C344" w14:textId="3B2EDCCF" w:rsidTr="003D447D">
        <w:tc>
          <w:tcPr>
            <w:tcW w:w="587" w:type="dxa"/>
            <w:shd w:val="clear" w:color="auto" w:fill="EEEEEE"/>
          </w:tcPr>
          <w:p w14:paraId="2404BFFB"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545C2F1"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5491AF" w14:textId="3F437E24" w:rsidR="00526733" w:rsidRPr="00A1236D" w:rsidRDefault="00526733" w:rsidP="0052673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Pr>
                <w:rFonts w:eastAsia="Times New Roman"/>
                <w:sz w:val="18"/>
                <w:szCs w:val="18"/>
                <w:lang w:val="en-GB" w:eastAsia="en-GB"/>
              </w:rPr>
              <w:t>SDs</w:t>
            </w:r>
            <w:r w:rsidRPr="00A1236D">
              <w:rPr>
                <w:rFonts w:eastAsia="Times New Roman"/>
                <w:sz w:val="18"/>
                <w:szCs w:val="18"/>
                <w:lang w:val="en-GB" w:eastAsia="en-GB"/>
              </w:rPr>
              <w:t>, proportions)</w:t>
            </w:r>
          </w:p>
        </w:tc>
        <w:tc>
          <w:tcPr>
            <w:tcW w:w="720" w:type="dxa"/>
            <w:shd w:val="clear" w:color="auto" w:fill="EEEEEE"/>
          </w:tcPr>
          <w:p w14:paraId="03BBA613" w14:textId="3A0AC1A9" w:rsidR="00526733" w:rsidRPr="00A1236D" w:rsidRDefault="00526733" w:rsidP="00526733">
            <w:pPr>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t>2</w:t>
            </w:r>
          </w:p>
        </w:tc>
        <w:tc>
          <w:tcPr>
            <w:tcW w:w="4320" w:type="dxa"/>
            <w:shd w:val="clear" w:color="auto" w:fill="EEEEEE"/>
          </w:tcPr>
          <w:p w14:paraId="0FD9D468" w14:textId="4EB2BD08" w:rsidR="00526733" w:rsidRDefault="00526733" w:rsidP="000F3921">
            <w:pPr>
              <w:spacing w:beforeLines="40" w:before="96" w:afterLines="40" w:after="96" w:line="24" w:lineRule="atLeast"/>
              <w:rPr>
                <w:rFonts w:eastAsia="Times New Roman"/>
                <w:sz w:val="18"/>
                <w:szCs w:val="18"/>
                <w:lang w:val="en-GB" w:eastAsia="en-GB"/>
              </w:rPr>
            </w:pPr>
            <w:r w:rsidRPr="00285AEE">
              <w:rPr>
                <w:rFonts w:eastAsia="Times New Roman"/>
                <w:sz w:val="18"/>
                <w:szCs w:val="18"/>
                <w:lang w:val="en-GB" w:eastAsia="en-GB"/>
              </w:rPr>
              <w:t>The largest publicly accessible GWAS dataset, which includes 257,841 participants of European ancestry, provides summary data on cognitive performance. It includes 13,568 cases of meniscal derangement and 147,221 controls, with a total of 16,380,200 SNPs tested. All participants are of European ancestry</w:t>
            </w:r>
            <w:r>
              <w:rPr>
                <w:rFonts w:eastAsia="Times New Roman"/>
                <w:sz w:val="18"/>
                <w:szCs w:val="18"/>
                <w:lang w:val="en-GB" w:eastAsia="en-GB"/>
              </w:rPr>
              <w:t>.</w:t>
            </w:r>
          </w:p>
        </w:tc>
      </w:tr>
      <w:tr w:rsidR="00526733" w:rsidRPr="00B853C6" w14:paraId="48F10342" w14:textId="398F2C24" w:rsidTr="003D447D">
        <w:tc>
          <w:tcPr>
            <w:tcW w:w="587" w:type="dxa"/>
            <w:shd w:val="clear" w:color="auto" w:fill="auto"/>
          </w:tcPr>
          <w:p w14:paraId="6600AF43"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35099F2"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062EB561" w14:textId="77777777"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If </w:t>
            </w:r>
            <w:bookmarkStart w:id="3" w:name="OLE_LINK6"/>
            <w:r w:rsidRPr="00A1236D">
              <w:rPr>
                <w:rFonts w:eastAsia="Times New Roman"/>
                <w:sz w:val="18"/>
                <w:szCs w:val="18"/>
                <w:lang w:val="en-GB" w:eastAsia="en-GB"/>
              </w:rPr>
              <w:t>the data sources include meta-analyses of previous studies</w:t>
            </w:r>
            <w:bookmarkEnd w:id="3"/>
            <w:r w:rsidRPr="00A1236D">
              <w:rPr>
                <w:rFonts w:eastAsia="Times New Roman"/>
                <w:sz w:val="18"/>
                <w:szCs w:val="18"/>
                <w:lang w:val="en-GB" w:eastAsia="en-GB"/>
              </w:rPr>
              <w:t>, provide the assessments of heterogeneity across these studies</w:t>
            </w:r>
          </w:p>
        </w:tc>
        <w:tc>
          <w:tcPr>
            <w:tcW w:w="720" w:type="dxa"/>
          </w:tcPr>
          <w:p w14:paraId="10F6EF39" w14:textId="77777777" w:rsidR="00526733" w:rsidRPr="00A1236D" w:rsidRDefault="00526733" w:rsidP="00526733">
            <w:pPr>
              <w:spacing w:beforeLines="40" w:before="96" w:afterLines="40" w:after="96" w:line="24" w:lineRule="atLeast"/>
              <w:rPr>
                <w:rFonts w:eastAsia="Times New Roman"/>
                <w:sz w:val="18"/>
                <w:szCs w:val="18"/>
                <w:lang w:val="en-GB" w:eastAsia="en-GB"/>
              </w:rPr>
            </w:pPr>
          </w:p>
        </w:tc>
        <w:tc>
          <w:tcPr>
            <w:tcW w:w="4320" w:type="dxa"/>
          </w:tcPr>
          <w:p w14:paraId="449D40FD" w14:textId="6976B90B" w:rsidR="00526733" w:rsidRPr="00526733" w:rsidRDefault="00526733" w:rsidP="000F3921">
            <w:pPr>
              <w:spacing w:beforeLines="40" w:before="96" w:afterLines="40" w:after="96" w:line="24" w:lineRule="atLeast"/>
              <w:rPr>
                <w:rFonts w:ascii="宋体" w:eastAsia="宋体" w:hAnsi="宋体" w:cs="宋体" w:hint="eastAsia"/>
                <w:sz w:val="18"/>
                <w:szCs w:val="18"/>
                <w:lang w:val="en-US" w:eastAsia="zh-CN"/>
              </w:rPr>
            </w:pPr>
            <w:r w:rsidRPr="00526733">
              <w:rPr>
                <w:rFonts w:eastAsia="Times New Roman"/>
                <w:sz w:val="18"/>
                <w:szCs w:val="18"/>
                <w:lang w:val="en-GB" w:eastAsia="en-GB"/>
              </w:rPr>
              <w:t>Data sources did not include meta-analyses of original studies</w:t>
            </w:r>
            <w:r>
              <w:rPr>
                <w:rFonts w:eastAsia="Times New Roman"/>
                <w:sz w:val="18"/>
                <w:szCs w:val="18"/>
                <w:lang w:val="en-US" w:eastAsia="en-GB"/>
              </w:rPr>
              <w:t>.</w:t>
            </w:r>
          </w:p>
        </w:tc>
      </w:tr>
      <w:tr w:rsidR="00526733" w:rsidRPr="00B853C6" w14:paraId="51930A8C" w14:textId="221D5A9E" w:rsidTr="003D447D">
        <w:tc>
          <w:tcPr>
            <w:tcW w:w="587" w:type="dxa"/>
            <w:shd w:val="clear" w:color="auto" w:fill="EEEEEE"/>
          </w:tcPr>
          <w:p w14:paraId="6116DD95"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453F7877"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2EFD572E" w14:textId="5230C0F8" w:rsidR="00526733" w:rsidRPr="00A1236D" w:rsidRDefault="00526733" w:rsidP="00526733">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526733" w:rsidRPr="00A1236D" w:rsidRDefault="00526733" w:rsidP="0052673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   </w:t>
            </w:r>
            <w:proofErr w:type="spellStart"/>
            <w:r w:rsidRPr="00A1236D">
              <w:rPr>
                <w:rFonts w:eastAsia="Times New Roman"/>
                <w:sz w:val="18"/>
                <w:szCs w:val="18"/>
                <w:lang w:val="en-GB" w:eastAsia="en-GB"/>
              </w:rPr>
              <w:t>i</w:t>
            </w:r>
            <w:proofErr w:type="spellEnd"/>
            <w:r w:rsidRPr="00A1236D">
              <w:rPr>
                <w:rFonts w:eastAsia="Times New Roman"/>
                <w:sz w:val="18"/>
                <w:szCs w:val="18"/>
                <w:lang w:val="en-GB" w:eastAsia="en-GB"/>
              </w:rPr>
              <w:t>.  Provide justification of the similarity of the genetic variant-exposure associations between the exposure and outcome samples</w:t>
            </w:r>
          </w:p>
          <w:p w14:paraId="35BA9280" w14:textId="77777777"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4948EE3D" w14:textId="1126A782" w:rsidR="00526733" w:rsidRPr="00A1236D" w:rsidRDefault="000F3921" w:rsidP="0052673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2</w:t>
            </w:r>
          </w:p>
        </w:tc>
        <w:tc>
          <w:tcPr>
            <w:tcW w:w="4320" w:type="dxa"/>
            <w:shd w:val="clear" w:color="auto" w:fill="EEEEEE"/>
          </w:tcPr>
          <w:p w14:paraId="5B2A1A71" w14:textId="24CABFA3" w:rsidR="00526733" w:rsidRPr="000F3921" w:rsidRDefault="000F3921" w:rsidP="000F3921">
            <w:pPr>
              <w:spacing w:beforeLines="40" w:before="96" w:afterLines="40" w:after="96" w:line="24" w:lineRule="atLeast"/>
              <w:rPr>
                <w:rFonts w:ascii="宋体" w:eastAsia="宋体" w:hAnsi="宋体" w:cs="宋体" w:hint="eastAsia"/>
                <w:sz w:val="18"/>
                <w:szCs w:val="18"/>
                <w:lang w:val="en-US" w:eastAsia="zh-CN"/>
              </w:rPr>
            </w:pPr>
            <w:r w:rsidRPr="000F3921">
              <w:rPr>
                <w:rFonts w:eastAsia="Times New Roman"/>
                <w:sz w:val="18"/>
                <w:szCs w:val="18"/>
                <w:lang w:val="en-GB" w:eastAsia="en-GB"/>
              </w:rPr>
              <w:t>All the sample populations were from Europe, so there was little ethnic heterogeneity, with no overlapping population information and no overlapping subjects</w:t>
            </w:r>
            <w:r>
              <w:rPr>
                <w:rFonts w:eastAsia="Times New Roman"/>
                <w:sz w:val="18"/>
                <w:szCs w:val="18"/>
                <w:lang w:val="en-US" w:eastAsia="en-GB"/>
              </w:rPr>
              <w:t>.</w:t>
            </w:r>
          </w:p>
        </w:tc>
      </w:tr>
      <w:tr w:rsidR="00526733" w:rsidRPr="00B853C6" w14:paraId="52CFCA59" w14:textId="5AC9CE3E" w:rsidTr="003D447D">
        <w:tc>
          <w:tcPr>
            <w:tcW w:w="587" w:type="dxa"/>
            <w:shd w:val="clear" w:color="auto" w:fill="auto"/>
          </w:tcPr>
          <w:p w14:paraId="110872BB"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822" w:type="dxa"/>
            <w:shd w:val="clear" w:color="auto" w:fill="auto"/>
          </w:tcPr>
          <w:p w14:paraId="0C26298F" w14:textId="77777777" w:rsidR="00526733" w:rsidRPr="00F0337F" w:rsidRDefault="00526733" w:rsidP="0052673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7041" w:type="dxa"/>
            <w:shd w:val="clear" w:color="auto" w:fill="auto"/>
          </w:tcPr>
          <w:p w14:paraId="2F14FA37" w14:textId="77777777" w:rsidR="00526733" w:rsidRPr="00A1236D" w:rsidRDefault="00526733" w:rsidP="00526733">
            <w:pPr>
              <w:spacing w:beforeLines="40" w:before="96" w:afterLines="40" w:after="96" w:line="24" w:lineRule="atLeast"/>
              <w:rPr>
                <w:rFonts w:eastAsia="Cambria"/>
                <w:sz w:val="18"/>
                <w:szCs w:val="18"/>
                <w:lang w:val="en-GB" w:eastAsia="en-US"/>
              </w:rPr>
            </w:pPr>
          </w:p>
        </w:tc>
        <w:tc>
          <w:tcPr>
            <w:tcW w:w="720" w:type="dxa"/>
          </w:tcPr>
          <w:p w14:paraId="035B3367" w14:textId="77777777" w:rsidR="00526733" w:rsidRPr="00A1236D" w:rsidRDefault="00526733" w:rsidP="00526733">
            <w:pPr>
              <w:spacing w:beforeLines="40" w:before="96" w:afterLines="40" w:after="96" w:line="24" w:lineRule="atLeast"/>
              <w:rPr>
                <w:rFonts w:eastAsia="Cambria"/>
                <w:sz w:val="18"/>
                <w:szCs w:val="18"/>
                <w:lang w:val="en-GB" w:eastAsia="en-US"/>
              </w:rPr>
            </w:pPr>
          </w:p>
        </w:tc>
        <w:tc>
          <w:tcPr>
            <w:tcW w:w="4320" w:type="dxa"/>
          </w:tcPr>
          <w:p w14:paraId="0AFA0083" w14:textId="77777777" w:rsidR="00526733" w:rsidRDefault="00526733" w:rsidP="00526733">
            <w:pPr>
              <w:spacing w:beforeLines="40" w:before="96" w:afterLines="40" w:after="96" w:line="24" w:lineRule="atLeast"/>
              <w:rPr>
                <w:rFonts w:eastAsia="Cambria"/>
                <w:sz w:val="18"/>
                <w:szCs w:val="18"/>
                <w:lang w:val="en-GB" w:eastAsia="en-US"/>
              </w:rPr>
            </w:pPr>
          </w:p>
        </w:tc>
      </w:tr>
      <w:tr w:rsidR="00526733" w:rsidRPr="00B853C6" w14:paraId="56845A2A" w14:textId="1DC0780C" w:rsidTr="003D447D">
        <w:tc>
          <w:tcPr>
            <w:tcW w:w="587" w:type="dxa"/>
            <w:shd w:val="clear" w:color="auto" w:fill="EEEEEE"/>
          </w:tcPr>
          <w:p w14:paraId="0892A548"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7CDB72AD"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09CB478B" w14:textId="77777777"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0AC79971" w:rsidR="00526733" w:rsidRPr="00A1236D" w:rsidRDefault="00A07F09" w:rsidP="0052673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3</w:t>
            </w:r>
          </w:p>
        </w:tc>
        <w:tc>
          <w:tcPr>
            <w:tcW w:w="4320" w:type="dxa"/>
            <w:shd w:val="clear" w:color="auto" w:fill="EEEEEE"/>
          </w:tcPr>
          <w:p w14:paraId="7BCA1C07" w14:textId="4AA8E568" w:rsidR="00526733" w:rsidRDefault="00A07F09" w:rsidP="00526733">
            <w:pPr>
              <w:spacing w:beforeLines="40" w:before="96" w:afterLines="40" w:after="96" w:line="24" w:lineRule="atLeast"/>
              <w:rPr>
                <w:rFonts w:eastAsia="Times New Roman"/>
                <w:sz w:val="18"/>
                <w:szCs w:val="18"/>
                <w:lang w:val="en-GB" w:eastAsia="en-GB"/>
              </w:rPr>
            </w:pPr>
            <w:r w:rsidRPr="00A07F09">
              <w:rPr>
                <w:rFonts w:eastAsia="Times New Roman"/>
                <w:sz w:val="18"/>
                <w:szCs w:val="18"/>
                <w:lang w:val="en-GB" w:eastAsia="en-GB"/>
              </w:rPr>
              <w:t>Following thorough screening, we identified 136 SNPs as IVs for meniscal derangement outcomes</w:t>
            </w:r>
            <w:r w:rsidRPr="00A07F09">
              <w:rPr>
                <w:rFonts w:eastAsia="Times New Roman"/>
                <w:sz w:val="18"/>
                <w:szCs w:val="18"/>
                <w:lang w:val="en-GB" w:eastAsia="en-GB"/>
              </w:rPr>
              <w:t xml:space="preserve">. </w:t>
            </w:r>
            <w:r w:rsidRPr="00A07F09">
              <w:rPr>
                <w:rFonts w:eastAsia="Times New Roman"/>
                <w:sz w:val="18"/>
                <w:szCs w:val="18"/>
                <w:lang w:val="en-GB" w:eastAsia="en-GB"/>
              </w:rPr>
              <w:t>There was no evidence of weak instrument bias, as indicated by the F-statistics, all of which were greater than 10</w:t>
            </w:r>
            <w:r w:rsidRPr="00A07F09">
              <w:rPr>
                <w:rFonts w:eastAsia="Times New Roman"/>
                <w:sz w:val="18"/>
                <w:szCs w:val="18"/>
                <w:lang w:val="en-GB" w:eastAsia="en-GB"/>
              </w:rPr>
              <w:t>.</w:t>
            </w:r>
          </w:p>
        </w:tc>
      </w:tr>
      <w:tr w:rsidR="00526733" w:rsidRPr="00B853C6" w14:paraId="2FAEFE68" w14:textId="09D82DE1" w:rsidTr="003D447D">
        <w:tc>
          <w:tcPr>
            <w:tcW w:w="587" w:type="dxa"/>
            <w:shd w:val="clear" w:color="auto" w:fill="auto"/>
          </w:tcPr>
          <w:p w14:paraId="2E83DFB7"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42A3CE2"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336E75EE" w14:textId="144F95EC"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20" w:type="dxa"/>
          </w:tcPr>
          <w:p w14:paraId="1E1B567F" w14:textId="2C8F2693" w:rsidR="00526733" w:rsidRPr="00A1236D" w:rsidRDefault="00A07F09" w:rsidP="0052673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3</w:t>
            </w:r>
          </w:p>
        </w:tc>
        <w:tc>
          <w:tcPr>
            <w:tcW w:w="4320" w:type="dxa"/>
          </w:tcPr>
          <w:p w14:paraId="4564CEDB" w14:textId="51FBC9A2" w:rsidR="00526733" w:rsidRDefault="00A07F09" w:rsidP="00526733">
            <w:pPr>
              <w:spacing w:beforeLines="40" w:before="96" w:afterLines="40" w:after="96" w:line="24" w:lineRule="atLeast"/>
              <w:rPr>
                <w:rFonts w:eastAsia="Times New Roman"/>
                <w:sz w:val="18"/>
                <w:szCs w:val="18"/>
                <w:lang w:val="en-GB" w:eastAsia="en-GB"/>
              </w:rPr>
            </w:pPr>
            <w:r w:rsidRPr="00A07F09">
              <w:rPr>
                <w:rFonts w:eastAsia="Times New Roman"/>
                <w:sz w:val="18"/>
                <w:szCs w:val="18"/>
                <w:lang w:val="en-GB" w:eastAsia="en-GB"/>
              </w:rPr>
              <w:t xml:space="preserve">The inverse-variance weighting (IVW) method produced a pooled odds ratio (OR) of 0.76 (95% CI 0.66–0.88; P=2*10-4) per standard deviation increase in cognitive performance, a finding </w:t>
            </w:r>
            <w:r w:rsidRPr="00A07F09">
              <w:rPr>
                <w:rFonts w:eastAsia="Times New Roman"/>
                <w:sz w:val="18"/>
                <w:szCs w:val="18"/>
                <w:lang w:val="en-GB" w:eastAsia="en-GB"/>
              </w:rPr>
              <w:lastRenderedPageBreak/>
              <w:t>corroborated by the weighted median method (OR: 0.81, 95% CI 0.67–0.98; P=3*10-2).</w:t>
            </w:r>
          </w:p>
        </w:tc>
      </w:tr>
      <w:tr w:rsidR="00526733" w:rsidRPr="00B853C6" w14:paraId="1FAC379E" w14:textId="0C198578" w:rsidTr="003D447D">
        <w:tc>
          <w:tcPr>
            <w:tcW w:w="587" w:type="dxa"/>
            <w:shd w:val="clear" w:color="auto" w:fill="EEEEEE"/>
          </w:tcPr>
          <w:p w14:paraId="6762B88A"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14E8164"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4BC6AB73" w14:textId="77777777"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235C7206" w:rsidR="00526733" w:rsidRPr="00A1236D" w:rsidRDefault="00A07F09" w:rsidP="0052673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3</w:t>
            </w:r>
          </w:p>
        </w:tc>
        <w:tc>
          <w:tcPr>
            <w:tcW w:w="4320" w:type="dxa"/>
            <w:shd w:val="clear" w:color="auto" w:fill="EEEEEE"/>
          </w:tcPr>
          <w:p w14:paraId="4A2216FF" w14:textId="6FFB8210" w:rsidR="00526733" w:rsidRDefault="00A07F09" w:rsidP="00526733">
            <w:pPr>
              <w:spacing w:beforeLines="40" w:before="96" w:afterLines="40" w:after="96" w:line="24" w:lineRule="atLeast"/>
              <w:rPr>
                <w:rFonts w:eastAsia="Times New Roman"/>
                <w:sz w:val="18"/>
                <w:szCs w:val="18"/>
                <w:lang w:val="en-GB" w:eastAsia="en-GB"/>
              </w:rPr>
            </w:pPr>
            <w:r w:rsidRPr="00A07F09">
              <w:rPr>
                <w:rFonts w:eastAsia="Times New Roman"/>
                <w:sz w:val="18"/>
                <w:szCs w:val="18"/>
                <w:lang w:val="en-GB" w:eastAsia="en-GB"/>
              </w:rPr>
              <w:t>Genetically predicted cognitive performance was inversely associated with the odds of meniscal derangement.</w:t>
            </w:r>
          </w:p>
        </w:tc>
      </w:tr>
      <w:tr w:rsidR="00526733" w:rsidRPr="00B853C6" w14:paraId="00F87C74" w14:textId="30F32A00" w:rsidTr="003D447D">
        <w:tc>
          <w:tcPr>
            <w:tcW w:w="587" w:type="dxa"/>
            <w:shd w:val="clear" w:color="auto" w:fill="auto"/>
          </w:tcPr>
          <w:p w14:paraId="2CDE5DE6"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9C50E8E"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47CC3ACC" w14:textId="77777777"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265634D5" w:rsidR="00526733" w:rsidRPr="00A1236D" w:rsidRDefault="00A07F09" w:rsidP="0052673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3</w:t>
            </w:r>
          </w:p>
        </w:tc>
        <w:tc>
          <w:tcPr>
            <w:tcW w:w="4320" w:type="dxa"/>
          </w:tcPr>
          <w:p w14:paraId="7B9F0A4D" w14:textId="12C781F1" w:rsidR="00526733" w:rsidRDefault="00A07F09" w:rsidP="00526733">
            <w:pPr>
              <w:spacing w:beforeLines="40" w:before="96" w:afterLines="40" w:after="96" w:line="24" w:lineRule="atLeast"/>
              <w:rPr>
                <w:rFonts w:eastAsia="Times New Roman"/>
                <w:sz w:val="18"/>
                <w:szCs w:val="18"/>
                <w:lang w:val="en-GB" w:eastAsia="en-GB"/>
              </w:rPr>
            </w:pPr>
            <w:r w:rsidRPr="00A07F09">
              <w:rPr>
                <w:rFonts w:eastAsia="Times New Roman"/>
                <w:sz w:val="18"/>
                <w:szCs w:val="18"/>
                <w:lang w:val="en-GB" w:eastAsia="en-GB"/>
              </w:rPr>
              <w:t>Figure 1 illustrates the scatter plots showing the associations between genetically predicted cognitive performance and the risk of meniscal injuries. The causal associations depicted in the forest plots are presented in Figure 2.</w:t>
            </w:r>
          </w:p>
        </w:tc>
      </w:tr>
      <w:tr w:rsidR="00526733" w:rsidRPr="00B853C6" w14:paraId="62E6DFEA" w14:textId="107C6F5B" w:rsidTr="003D447D">
        <w:tc>
          <w:tcPr>
            <w:tcW w:w="587" w:type="dxa"/>
            <w:shd w:val="clear" w:color="auto" w:fill="EEEEEE"/>
          </w:tcPr>
          <w:p w14:paraId="57CB2789"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822" w:type="dxa"/>
            <w:shd w:val="clear" w:color="auto" w:fill="EEEEEE"/>
          </w:tcPr>
          <w:p w14:paraId="27B891DB" w14:textId="77777777" w:rsidR="00526733" w:rsidRPr="00F0337F" w:rsidRDefault="00526733" w:rsidP="0052673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6EC050C1" w14:textId="77777777" w:rsidR="00526733" w:rsidRPr="00A1236D" w:rsidRDefault="00526733" w:rsidP="00526733">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77777777" w:rsidR="00526733" w:rsidRPr="00A1236D" w:rsidRDefault="00526733" w:rsidP="00526733">
            <w:pPr>
              <w:spacing w:beforeLines="40" w:before="96" w:afterLines="40" w:after="96" w:line="24" w:lineRule="atLeast"/>
              <w:rPr>
                <w:rFonts w:eastAsia="Cambria"/>
                <w:sz w:val="18"/>
                <w:szCs w:val="18"/>
                <w:lang w:val="en-GB" w:eastAsia="en-US"/>
              </w:rPr>
            </w:pPr>
          </w:p>
        </w:tc>
        <w:tc>
          <w:tcPr>
            <w:tcW w:w="4320" w:type="dxa"/>
            <w:shd w:val="clear" w:color="auto" w:fill="EEEEEE"/>
          </w:tcPr>
          <w:p w14:paraId="10C8ADE2" w14:textId="77777777" w:rsidR="00526733" w:rsidRDefault="00526733" w:rsidP="00526733">
            <w:pPr>
              <w:spacing w:beforeLines="40" w:before="96" w:afterLines="40" w:after="96" w:line="24" w:lineRule="atLeast"/>
              <w:rPr>
                <w:rFonts w:eastAsia="Cambria"/>
                <w:sz w:val="18"/>
                <w:szCs w:val="18"/>
                <w:lang w:val="en-GB" w:eastAsia="en-US"/>
              </w:rPr>
            </w:pPr>
          </w:p>
        </w:tc>
      </w:tr>
      <w:tr w:rsidR="00526733" w:rsidRPr="00B853C6" w14:paraId="48EE0AFA" w14:textId="55C0BF1C" w:rsidTr="003D447D">
        <w:tc>
          <w:tcPr>
            <w:tcW w:w="587" w:type="dxa"/>
            <w:shd w:val="clear" w:color="auto" w:fill="auto"/>
          </w:tcPr>
          <w:p w14:paraId="4E29121D"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8A8B0EA"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1A97B456" w14:textId="77777777"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20" w:type="dxa"/>
          </w:tcPr>
          <w:p w14:paraId="6E2D56F0" w14:textId="1A656E98" w:rsidR="00526733" w:rsidRPr="00A1236D" w:rsidRDefault="00A07F09" w:rsidP="0052673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2</w:t>
            </w:r>
          </w:p>
        </w:tc>
        <w:tc>
          <w:tcPr>
            <w:tcW w:w="4320" w:type="dxa"/>
          </w:tcPr>
          <w:p w14:paraId="5E7081D1" w14:textId="31D87E21" w:rsidR="00526733" w:rsidRDefault="00A07F09" w:rsidP="00526733">
            <w:pPr>
              <w:spacing w:beforeLines="40" w:before="96" w:afterLines="40" w:after="96" w:line="24" w:lineRule="atLeast"/>
              <w:rPr>
                <w:rFonts w:eastAsia="Times New Roman"/>
                <w:sz w:val="18"/>
                <w:szCs w:val="18"/>
                <w:lang w:val="en-GB" w:eastAsia="en-GB"/>
              </w:rPr>
            </w:pPr>
            <w:r w:rsidRPr="00A07F09">
              <w:rPr>
                <w:rFonts w:eastAsia="Times New Roman"/>
                <w:sz w:val="18"/>
                <w:szCs w:val="18"/>
                <w:lang w:val="en-GB" w:eastAsia="en-GB"/>
              </w:rPr>
              <w:t>For the MR analysis to be valid, three fundamental assumptions must be met: First, the selected SNPs should be significantly associated with cognitive performance. Second, these SNPs must not be linked to any potential confounders that could affect the association between cognitive performance and meniscal injuries. Finally, the SNPs should not be directly associated with the injury itself, ensuring that any causal inference is mediated exclusively through cognitive performance.</w:t>
            </w:r>
          </w:p>
        </w:tc>
      </w:tr>
      <w:tr w:rsidR="00526733" w:rsidRPr="007E31E5" w14:paraId="7BDA55CD" w14:textId="6465618D" w:rsidTr="003D447D">
        <w:tc>
          <w:tcPr>
            <w:tcW w:w="587" w:type="dxa"/>
            <w:shd w:val="clear" w:color="auto" w:fill="EEEEEE"/>
          </w:tcPr>
          <w:p w14:paraId="6F27FA73"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BC0019D"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0ADD58" w14:textId="77777777"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20" w:type="dxa"/>
            <w:shd w:val="clear" w:color="auto" w:fill="EEEEEE"/>
          </w:tcPr>
          <w:p w14:paraId="2D6E39C6" w14:textId="5087B744" w:rsidR="00526733" w:rsidRPr="00A1236D" w:rsidRDefault="007E31E5" w:rsidP="0052673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2</w:t>
            </w:r>
          </w:p>
        </w:tc>
        <w:tc>
          <w:tcPr>
            <w:tcW w:w="4320" w:type="dxa"/>
            <w:shd w:val="clear" w:color="auto" w:fill="EEEEEE"/>
          </w:tcPr>
          <w:p w14:paraId="205C4ED8" w14:textId="2964F276" w:rsidR="00526733" w:rsidRDefault="007E31E5" w:rsidP="00526733">
            <w:pPr>
              <w:spacing w:beforeLines="40" w:before="96" w:afterLines="40" w:after="96" w:line="24" w:lineRule="atLeast"/>
              <w:rPr>
                <w:rFonts w:eastAsia="Times New Roman"/>
                <w:sz w:val="18"/>
                <w:szCs w:val="18"/>
                <w:lang w:val="en-GB" w:eastAsia="en-GB"/>
              </w:rPr>
            </w:pPr>
            <w:r w:rsidRPr="007E31E5">
              <w:rPr>
                <w:rFonts w:eastAsia="Times New Roman"/>
                <w:sz w:val="18"/>
                <w:szCs w:val="18"/>
                <w:lang w:val="en-GB" w:eastAsia="en-GB"/>
              </w:rPr>
              <w:t>Following these procedures, the remaining SNPs were used as instrumental variables. To reduce weak instrument bias (F&gt;10), we also employed the F-statistic (F=β2/se2) to assess the statistical efficacy of the SNPs and exclude those with poor statistical efficac</w:t>
            </w:r>
            <w:r w:rsidRPr="007E31E5">
              <w:rPr>
                <w:rFonts w:eastAsia="Times New Roman"/>
                <w:sz w:val="18"/>
                <w:szCs w:val="18"/>
                <w:lang w:val="en-GB" w:eastAsia="en-GB"/>
              </w:rPr>
              <w:t>y</w:t>
            </w:r>
            <w:r>
              <w:rPr>
                <w:rFonts w:eastAsia="Times New Roman"/>
                <w:sz w:val="18"/>
                <w:szCs w:val="18"/>
                <w:lang w:val="en-GB" w:eastAsia="en-GB"/>
              </w:rPr>
              <w:t>.</w:t>
            </w:r>
          </w:p>
        </w:tc>
      </w:tr>
      <w:tr w:rsidR="00526733" w:rsidRPr="00B853C6" w14:paraId="23F1C43D" w14:textId="6396118D" w:rsidTr="003D447D">
        <w:tc>
          <w:tcPr>
            <w:tcW w:w="587" w:type="dxa"/>
            <w:shd w:val="clear" w:color="auto" w:fill="auto"/>
          </w:tcPr>
          <w:p w14:paraId="021A9BB4"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22" w:type="dxa"/>
            <w:shd w:val="clear" w:color="auto" w:fill="auto"/>
          </w:tcPr>
          <w:p w14:paraId="51D3F02D" w14:textId="77777777" w:rsidR="00526733" w:rsidRPr="00F0337F" w:rsidRDefault="00526733" w:rsidP="0052673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7041" w:type="dxa"/>
            <w:shd w:val="clear" w:color="auto" w:fill="auto"/>
          </w:tcPr>
          <w:p w14:paraId="4AB1D97F" w14:textId="77777777" w:rsidR="00526733" w:rsidRPr="00A1236D" w:rsidRDefault="00526733" w:rsidP="00526733">
            <w:pPr>
              <w:spacing w:beforeLines="40" w:before="96" w:afterLines="40" w:after="96" w:line="24" w:lineRule="atLeast"/>
              <w:rPr>
                <w:rFonts w:eastAsia="Cambria"/>
                <w:sz w:val="18"/>
                <w:szCs w:val="18"/>
                <w:lang w:val="en-GB" w:eastAsia="en-US"/>
              </w:rPr>
            </w:pPr>
          </w:p>
        </w:tc>
        <w:tc>
          <w:tcPr>
            <w:tcW w:w="720" w:type="dxa"/>
          </w:tcPr>
          <w:p w14:paraId="50481D19" w14:textId="77777777" w:rsidR="00526733" w:rsidRPr="00A1236D" w:rsidRDefault="00526733" w:rsidP="00526733">
            <w:pPr>
              <w:spacing w:beforeLines="40" w:before="96" w:afterLines="40" w:after="96" w:line="24" w:lineRule="atLeast"/>
              <w:rPr>
                <w:rFonts w:eastAsia="Cambria"/>
                <w:sz w:val="18"/>
                <w:szCs w:val="18"/>
                <w:lang w:val="en-GB" w:eastAsia="en-US"/>
              </w:rPr>
            </w:pPr>
          </w:p>
        </w:tc>
        <w:tc>
          <w:tcPr>
            <w:tcW w:w="4320" w:type="dxa"/>
          </w:tcPr>
          <w:p w14:paraId="0F2C43F0" w14:textId="77777777" w:rsidR="00526733" w:rsidRDefault="00526733" w:rsidP="00526733">
            <w:pPr>
              <w:spacing w:beforeLines="40" w:before="96" w:afterLines="40" w:after="96" w:line="24" w:lineRule="atLeast"/>
              <w:rPr>
                <w:rFonts w:eastAsia="Cambria"/>
                <w:sz w:val="18"/>
                <w:szCs w:val="18"/>
                <w:lang w:val="en-GB" w:eastAsia="en-US"/>
              </w:rPr>
            </w:pPr>
          </w:p>
        </w:tc>
      </w:tr>
      <w:tr w:rsidR="00526733" w:rsidRPr="00B853C6" w14:paraId="1ABE2F1D" w14:textId="316B0F58" w:rsidTr="003D447D">
        <w:tc>
          <w:tcPr>
            <w:tcW w:w="587" w:type="dxa"/>
            <w:shd w:val="clear" w:color="auto" w:fill="EEEEEE"/>
          </w:tcPr>
          <w:p w14:paraId="0D022F9B"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E8FFD0"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30AA9260" w14:textId="77777777"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7A4EE7AA" w:rsidR="00526733" w:rsidRPr="00A1236D" w:rsidRDefault="007E31E5" w:rsidP="0052673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3</w:t>
            </w:r>
          </w:p>
        </w:tc>
        <w:tc>
          <w:tcPr>
            <w:tcW w:w="4320" w:type="dxa"/>
            <w:shd w:val="clear" w:color="auto" w:fill="EEEEEE"/>
          </w:tcPr>
          <w:p w14:paraId="73386906" w14:textId="7C2CFDF5" w:rsidR="00526733" w:rsidRDefault="007E31E5" w:rsidP="00526733">
            <w:pPr>
              <w:spacing w:beforeLines="40" w:before="96" w:afterLines="40" w:after="96" w:line="24" w:lineRule="atLeast"/>
              <w:rPr>
                <w:rFonts w:eastAsia="Times New Roman"/>
                <w:sz w:val="18"/>
                <w:szCs w:val="18"/>
                <w:lang w:val="en-GB" w:eastAsia="en-GB"/>
              </w:rPr>
            </w:pPr>
            <w:r w:rsidRPr="007E31E5">
              <w:rPr>
                <w:rFonts w:eastAsia="Times New Roman"/>
                <w:sz w:val="18"/>
                <w:szCs w:val="18"/>
                <w:lang w:val="en-GB" w:eastAsia="en-GB"/>
              </w:rPr>
              <w:t>Additionally, no pleiotropic effects were detected in our investigation using the MR-Egger intercept and Cochran’s Q test (P&gt;0.05). However, there was heterogeneity among the results (P&gt;0.05).</w:t>
            </w:r>
          </w:p>
        </w:tc>
      </w:tr>
      <w:tr w:rsidR="00526733" w:rsidRPr="00B853C6" w14:paraId="3696A9F1" w14:textId="63B96DDA" w:rsidTr="003D447D">
        <w:tc>
          <w:tcPr>
            <w:tcW w:w="587" w:type="dxa"/>
            <w:shd w:val="clear" w:color="auto" w:fill="auto"/>
          </w:tcPr>
          <w:p w14:paraId="0D2234E5"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7453E1FF"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111E54D" w14:textId="77777777"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20" w:type="dxa"/>
          </w:tcPr>
          <w:p w14:paraId="447F5BF5" w14:textId="5989E488" w:rsidR="00526733" w:rsidRPr="00A1236D" w:rsidRDefault="007E31E5" w:rsidP="0052673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3</w:t>
            </w:r>
          </w:p>
        </w:tc>
        <w:tc>
          <w:tcPr>
            <w:tcW w:w="4320" w:type="dxa"/>
          </w:tcPr>
          <w:p w14:paraId="5BB83735" w14:textId="499E413A" w:rsidR="00526733" w:rsidRPr="007E31E5" w:rsidRDefault="007E31E5" w:rsidP="00526733">
            <w:pPr>
              <w:spacing w:beforeLines="40" w:before="96" w:afterLines="40" w:after="96" w:line="24" w:lineRule="atLeast"/>
              <w:rPr>
                <w:rFonts w:ascii="宋体" w:eastAsia="宋体" w:hAnsi="宋体" w:cs="宋体" w:hint="eastAsia"/>
                <w:sz w:val="18"/>
                <w:szCs w:val="18"/>
                <w:lang w:val="en-US" w:eastAsia="zh-CN"/>
              </w:rPr>
            </w:pPr>
            <w:r w:rsidRPr="007E31E5">
              <w:rPr>
                <w:rFonts w:eastAsia="Times New Roman"/>
                <w:sz w:val="18"/>
                <w:szCs w:val="18"/>
                <w:lang w:val="en-GB" w:eastAsia="zh-CN"/>
              </w:rPr>
              <w:t>Leave one out method</w:t>
            </w:r>
            <w:r>
              <w:rPr>
                <w:rFonts w:eastAsia="Times New Roman"/>
                <w:sz w:val="18"/>
                <w:szCs w:val="18"/>
                <w:lang w:val="en-US" w:eastAsia="zh-CN"/>
              </w:rPr>
              <w:t>.</w:t>
            </w:r>
          </w:p>
        </w:tc>
      </w:tr>
      <w:tr w:rsidR="00526733" w:rsidRPr="00B853C6" w14:paraId="1650BAB8" w14:textId="79D11DE7" w:rsidTr="003D447D">
        <w:tc>
          <w:tcPr>
            <w:tcW w:w="587" w:type="dxa"/>
            <w:shd w:val="clear" w:color="auto" w:fill="EEEEEE"/>
          </w:tcPr>
          <w:p w14:paraId="4D025CC4"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EAD995A"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14E0FCD9" w14:textId="77777777" w:rsidR="00526733" w:rsidRPr="00A1236D" w:rsidRDefault="00526733" w:rsidP="0052673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77777777" w:rsidR="00526733" w:rsidRPr="00A1236D" w:rsidRDefault="00526733" w:rsidP="0052673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66751F07" w14:textId="141FBC79" w:rsidR="00526733" w:rsidRPr="00431E18" w:rsidRDefault="00431E18" w:rsidP="00526733">
            <w:pPr>
              <w:spacing w:beforeLines="40" w:before="96" w:afterLines="40" w:after="96" w:line="24" w:lineRule="atLeast"/>
              <w:rPr>
                <w:rFonts w:ascii="宋体" w:eastAsia="宋体" w:hAnsi="宋体" w:cs="宋体" w:hint="eastAsia"/>
                <w:sz w:val="18"/>
                <w:szCs w:val="18"/>
                <w:lang w:val="en-US" w:eastAsia="zh-CN"/>
              </w:rPr>
            </w:pPr>
            <w:r w:rsidRPr="00431E18">
              <w:rPr>
                <w:rFonts w:eastAsia="Times New Roman"/>
                <w:sz w:val="18"/>
                <w:szCs w:val="18"/>
                <w:lang w:val="en-US" w:eastAsia="zh-CN"/>
              </w:rPr>
              <w:t>This paper is a one-way Mendelian randomization analysis</w:t>
            </w:r>
            <w:r>
              <w:rPr>
                <w:rFonts w:eastAsia="Times New Roman"/>
                <w:sz w:val="18"/>
                <w:szCs w:val="18"/>
                <w:lang w:val="en-US" w:eastAsia="zh-CN"/>
              </w:rPr>
              <w:t>.</w:t>
            </w:r>
          </w:p>
        </w:tc>
      </w:tr>
      <w:tr w:rsidR="00526733" w:rsidRPr="00B853C6" w14:paraId="2034ACF7" w14:textId="19A8CB33" w:rsidTr="003D447D">
        <w:tc>
          <w:tcPr>
            <w:tcW w:w="587" w:type="dxa"/>
            <w:shd w:val="clear" w:color="auto" w:fill="auto"/>
          </w:tcPr>
          <w:p w14:paraId="3217ECED"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AE90FE5"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A13AF31" w14:textId="77777777"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20" w:type="dxa"/>
          </w:tcPr>
          <w:p w14:paraId="528F9F4C" w14:textId="7C2A885D" w:rsidR="00526733" w:rsidRPr="00A1236D" w:rsidRDefault="00431E18" w:rsidP="00526733">
            <w:pPr>
              <w:spacing w:beforeLines="40" w:before="96" w:afterLines="40" w:after="96" w:line="24" w:lineRule="atLeast"/>
              <w:rPr>
                <w:rFonts w:eastAsia="Times New Roman"/>
                <w:sz w:val="18"/>
                <w:szCs w:val="18"/>
                <w:lang w:val="en-GB" w:eastAsia="en-GB"/>
              </w:rPr>
            </w:pPr>
            <w:r>
              <w:rPr>
                <w:rFonts w:eastAsia="Times New Roman" w:hint="eastAsia"/>
                <w:sz w:val="18"/>
                <w:szCs w:val="18"/>
                <w:lang w:val="en-GB" w:eastAsia="en-GB"/>
              </w:rPr>
              <w:t>4</w:t>
            </w:r>
          </w:p>
        </w:tc>
        <w:tc>
          <w:tcPr>
            <w:tcW w:w="4320" w:type="dxa"/>
          </w:tcPr>
          <w:p w14:paraId="7B882C5B" w14:textId="06BE5585" w:rsidR="00526733" w:rsidRDefault="00431E18" w:rsidP="00526733">
            <w:pPr>
              <w:spacing w:beforeLines="40" w:before="96" w:afterLines="40" w:after="96" w:line="24" w:lineRule="atLeast"/>
              <w:rPr>
                <w:rFonts w:eastAsia="Times New Roman"/>
                <w:sz w:val="18"/>
                <w:szCs w:val="18"/>
                <w:lang w:val="en-GB" w:eastAsia="en-GB"/>
              </w:rPr>
            </w:pPr>
            <w:r w:rsidRPr="00431E18">
              <w:rPr>
                <w:rFonts w:eastAsia="Times New Roman"/>
                <w:sz w:val="18"/>
                <w:szCs w:val="18"/>
                <w:lang w:val="en-US" w:eastAsia="zh-CN"/>
              </w:rPr>
              <w:t>It is known that a significant decline in cognitive performance may be an observational risk factor for meniscal injuries, but the causality of this association is unclear.</w:t>
            </w:r>
          </w:p>
        </w:tc>
      </w:tr>
      <w:tr w:rsidR="00526733" w:rsidRPr="00B853C6" w14:paraId="3E7CFBFC" w14:textId="3F99A047" w:rsidTr="003D447D">
        <w:tc>
          <w:tcPr>
            <w:tcW w:w="587" w:type="dxa"/>
            <w:tcBorders>
              <w:bottom w:val="single" w:sz="6" w:space="0" w:color="7F7F7F"/>
            </w:tcBorders>
            <w:shd w:val="clear" w:color="auto" w:fill="EEEEEE"/>
          </w:tcPr>
          <w:p w14:paraId="1FDC421F"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5FE15030"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tcBorders>
              <w:bottom w:val="single" w:sz="6" w:space="0" w:color="7F7F7F"/>
            </w:tcBorders>
            <w:shd w:val="clear" w:color="auto" w:fill="EEEEEE"/>
          </w:tcPr>
          <w:p w14:paraId="61CE32BA" w14:textId="77777777" w:rsidR="00526733" w:rsidRPr="00A1236D" w:rsidRDefault="00526733" w:rsidP="0052673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77777777" w:rsidR="00526733" w:rsidRPr="00A1236D" w:rsidRDefault="00526733" w:rsidP="00526733">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03A6AB93" w14:textId="413B2D56" w:rsidR="00526733" w:rsidRPr="00544751" w:rsidRDefault="00544751" w:rsidP="00526733">
            <w:pPr>
              <w:spacing w:beforeLines="40" w:before="96" w:afterLines="40" w:after="96" w:line="24" w:lineRule="atLeast"/>
              <w:rPr>
                <w:rFonts w:eastAsia="Times New Roman" w:hint="eastAsia"/>
                <w:sz w:val="18"/>
                <w:szCs w:val="18"/>
                <w:lang w:val="en-US" w:eastAsia="zh-CN"/>
              </w:rPr>
            </w:pPr>
            <w:r w:rsidRPr="00544751">
              <w:rPr>
                <w:rFonts w:eastAsia="Times New Roman"/>
                <w:sz w:val="18"/>
                <w:szCs w:val="18"/>
                <w:lang w:val="en-GB" w:eastAsia="zh-CN"/>
              </w:rPr>
              <w:t>One missing value has been removed by the leave-one-out method, and a forest plot has been made in this paper.</w:t>
            </w:r>
          </w:p>
        </w:tc>
      </w:tr>
      <w:tr w:rsidR="00526733" w:rsidRPr="00B853C6" w14:paraId="5B7D2773" w14:textId="7D8D257A" w:rsidTr="003D447D">
        <w:tc>
          <w:tcPr>
            <w:tcW w:w="587" w:type="dxa"/>
            <w:tcBorders>
              <w:top w:val="single" w:sz="6" w:space="0" w:color="7F7F7F"/>
            </w:tcBorders>
            <w:shd w:val="clear" w:color="auto" w:fill="auto"/>
          </w:tcPr>
          <w:p w14:paraId="5BDBDA65"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1C564B75" w14:textId="77777777" w:rsidR="00526733" w:rsidRPr="00F0337F" w:rsidRDefault="00526733" w:rsidP="0052673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7041" w:type="dxa"/>
            <w:tcBorders>
              <w:top w:val="single" w:sz="6" w:space="0" w:color="7F7F7F"/>
            </w:tcBorders>
            <w:shd w:val="clear" w:color="auto" w:fill="auto"/>
          </w:tcPr>
          <w:p w14:paraId="35997729" w14:textId="77777777" w:rsidR="00526733" w:rsidRPr="00A1236D" w:rsidRDefault="00526733" w:rsidP="0052673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77777777" w:rsidR="00526733" w:rsidRPr="00A1236D" w:rsidRDefault="00526733" w:rsidP="0052673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2AE3A897" w14:textId="77777777" w:rsidR="00526733" w:rsidRDefault="00526733" w:rsidP="00526733">
            <w:pPr>
              <w:spacing w:beforeLines="40" w:before="96" w:afterLines="40" w:after="96" w:line="24" w:lineRule="atLeast"/>
              <w:rPr>
                <w:rFonts w:eastAsia="Cambria"/>
                <w:sz w:val="18"/>
                <w:szCs w:val="18"/>
                <w:lang w:val="en-GB" w:eastAsia="en-US"/>
              </w:rPr>
            </w:pPr>
          </w:p>
        </w:tc>
      </w:tr>
      <w:tr w:rsidR="00526733" w:rsidRPr="00B853C6" w14:paraId="1800AF05" w14:textId="4BEA2748" w:rsidTr="003D447D">
        <w:tc>
          <w:tcPr>
            <w:tcW w:w="587" w:type="dxa"/>
            <w:shd w:val="clear" w:color="auto" w:fill="EEEEEE"/>
          </w:tcPr>
          <w:p w14:paraId="6B5F5286"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822" w:type="dxa"/>
            <w:shd w:val="clear" w:color="auto" w:fill="EEEEEE"/>
          </w:tcPr>
          <w:p w14:paraId="42EDC029" w14:textId="77777777" w:rsidR="00526733" w:rsidRPr="00F0337F" w:rsidRDefault="00526733" w:rsidP="0052673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7041" w:type="dxa"/>
            <w:shd w:val="clear" w:color="auto" w:fill="EEEEEE"/>
          </w:tcPr>
          <w:p w14:paraId="35F1CADF" w14:textId="77777777" w:rsidR="00526733" w:rsidRPr="00A1236D" w:rsidRDefault="00526733" w:rsidP="0052673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20" w:type="dxa"/>
            <w:shd w:val="clear" w:color="auto" w:fill="EEEEEE"/>
          </w:tcPr>
          <w:p w14:paraId="2C7117BF" w14:textId="107AD054" w:rsidR="00526733" w:rsidRPr="00A1236D" w:rsidRDefault="00544751" w:rsidP="00526733">
            <w:pPr>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t>4</w:t>
            </w:r>
          </w:p>
        </w:tc>
        <w:tc>
          <w:tcPr>
            <w:tcW w:w="4320" w:type="dxa"/>
            <w:shd w:val="clear" w:color="auto" w:fill="EEEEEE"/>
          </w:tcPr>
          <w:p w14:paraId="70F1DDE7" w14:textId="3D06BCBF" w:rsidR="00526733" w:rsidRDefault="00544751" w:rsidP="00526733">
            <w:pPr>
              <w:spacing w:beforeLines="40" w:before="96" w:afterLines="40" w:after="96" w:line="24" w:lineRule="atLeast"/>
              <w:rPr>
                <w:rFonts w:eastAsia="Times New Roman"/>
                <w:sz w:val="18"/>
                <w:szCs w:val="18"/>
                <w:lang w:val="en-GB" w:eastAsia="en-GB"/>
              </w:rPr>
            </w:pPr>
            <w:r w:rsidRPr="00544751">
              <w:rPr>
                <w:rFonts w:eastAsia="Times New Roman"/>
                <w:sz w:val="18"/>
                <w:szCs w:val="18"/>
                <w:lang w:val="en-GB" w:eastAsia="en-GB"/>
              </w:rPr>
              <w:t>The results of the two-sample MR showed a causal association between cognitive performance and meniscal injuries with an OR (95% CI) of 0.76 (0.66–0.88), P=2*10-4, suggesting that individuals with significant cognitive decline have a higher risk of meniscal injuries compared to the general population.</w:t>
            </w:r>
          </w:p>
        </w:tc>
      </w:tr>
      <w:tr w:rsidR="00526733" w:rsidRPr="00B853C6" w14:paraId="06BFAFA4" w14:textId="151FB6CE" w:rsidTr="003D447D">
        <w:tc>
          <w:tcPr>
            <w:tcW w:w="587" w:type="dxa"/>
            <w:shd w:val="clear" w:color="auto" w:fill="auto"/>
          </w:tcPr>
          <w:p w14:paraId="6D471CC5"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15</w:t>
            </w:r>
          </w:p>
        </w:tc>
        <w:tc>
          <w:tcPr>
            <w:tcW w:w="1822" w:type="dxa"/>
            <w:shd w:val="clear" w:color="auto" w:fill="auto"/>
          </w:tcPr>
          <w:p w14:paraId="5C27961E" w14:textId="77777777" w:rsidR="00526733" w:rsidRPr="00F0337F" w:rsidRDefault="00526733" w:rsidP="0052673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7041" w:type="dxa"/>
            <w:shd w:val="clear" w:color="auto" w:fill="auto"/>
          </w:tcPr>
          <w:p w14:paraId="75B6F41B" w14:textId="77777777" w:rsidR="00526733" w:rsidRPr="00A1236D" w:rsidRDefault="00526733" w:rsidP="0052673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20" w:type="dxa"/>
          </w:tcPr>
          <w:p w14:paraId="201D4281" w14:textId="5296D711" w:rsidR="00526733" w:rsidRPr="00A1236D" w:rsidRDefault="00544751" w:rsidP="00526733">
            <w:pPr>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t>4</w:t>
            </w:r>
          </w:p>
        </w:tc>
        <w:tc>
          <w:tcPr>
            <w:tcW w:w="4320" w:type="dxa"/>
          </w:tcPr>
          <w:p w14:paraId="7CB4BA33" w14:textId="350C1B9F" w:rsidR="00526733" w:rsidRDefault="00544751" w:rsidP="00526733">
            <w:pPr>
              <w:spacing w:beforeLines="40" w:before="96" w:afterLines="40" w:after="96" w:line="24" w:lineRule="atLeast"/>
              <w:rPr>
                <w:rFonts w:eastAsia="Times New Roman"/>
                <w:sz w:val="18"/>
                <w:szCs w:val="18"/>
                <w:lang w:val="en-GB" w:eastAsia="en-GB"/>
              </w:rPr>
            </w:pPr>
            <w:r w:rsidRPr="00544751">
              <w:rPr>
                <w:rFonts w:eastAsia="Times New Roman"/>
                <w:sz w:val="18"/>
                <w:szCs w:val="18"/>
                <w:lang w:val="en-GB" w:eastAsia="en-GB"/>
              </w:rPr>
              <w:t>Our study has several limitations. First, due to data limitations, we did not stratify by age or sex. Second, the exposure and outcome analyses were confined to European populations. The generalizability of these findings to other populations needs further investigation. Significant GWAS data including participants from diverse ethnic groups is required. Finally, due to data source restrictions, we were unable to investigate different subtypes of cognitive impairment. Future research would benefit from larger, more comprehensive datasets</w:t>
            </w:r>
          </w:p>
        </w:tc>
      </w:tr>
      <w:tr w:rsidR="00526733" w:rsidRPr="00B853C6" w14:paraId="71F8B8B5" w14:textId="34C247AC" w:rsidTr="003D447D">
        <w:tc>
          <w:tcPr>
            <w:tcW w:w="587" w:type="dxa"/>
            <w:shd w:val="clear" w:color="auto" w:fill="EEEEEE"/>
          </w:tcPr>
          <w:p w14:paraId="02C1D590"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822" w:type="dxa"/>
            <w:shd w:val="clear" w:color="auto" w:fill="EEEEEE"/>
          </w:tcPr>
          <w:p w14:paraId="612AA484" w14:textId="77777777" w:rsidR="00526733" w:rsidRPr="00F0337F" w:rsidRDefault="00526733" w:rsidP="0052673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7041" w:type="dxa"/>
            <w:shd w:val="clear" w:color="auto" w:fill="EEEEEE"/>
          </w:tcPr>
          <w:p w14:paraId="3BF6466E" w14:textId="77777777" w:rsidR="00526733" w:rsidRPr="00A1236D" w:rsidRDefault="00526733" w:rsidP="00526733">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526733" w:rsidRPr="00A1236D" w:rsidRDefault="00526733" w:rsidP="00526733">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526733" w:rsidRDefault="00526733" w:rsidP="00526733">
            <w:pPr>
              <w:spacing w:beforeLines="40" w:before="96" w:afterLines="40" w:after="96" w:line="24" w:lineRule="atLeast"/>
              <w:rPr>
                <w:rFonts w:eastAsia="Cambria"/>
                <w:sz w:val="18"/>
                <w:szCs w:val="18"/>
                <w:lang w:val="en-GB" w:eastAsia="en-US"/>
              </w:rPr>
            </w:pPr>
          </w:p>
        </w:tc>
      </w:tr>
      <w:tr w:rsidR="00526733" w:rsidRPr="00B853C6" w14:paraId="62E6D51A" w14:textId="140D03A2" w:rsidTr="003D447D">
        <w:tc>
          <w:tcPr>
            <w:tcW w:w="587" w:type="dxa"/>
            <w:shd w:val="clear" w:color="auto" w:fill="auto"/>
          </w:tcPr>
          <w:p w14:paraId="6DD2F448"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F26A29"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7EDF9868" w14:textId="096ED659"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and in comparison </w:t>
            </w:r>
            <w:r>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20" w:type="dxa"/>
          </w:tcPr>
          <w:p w14:paraId="565CC165" w14:textId="104C9D6A" w:rsidR="00526733" w:rsidRPr="00A1236D" w:rsidRDefault="00E973C7" w:rsidP="00526733">
            <w:pPr>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t>4</w:t>
            </w:r>
          </w:p>
        </w:tc>
        <w:tc>
          <w:tcPr>
            <w:tcW w:w="4320" w:type="dxa"/>
          </w:tcPr>
          <w:p w14:paraId="5251245C" w14:textId="150DC8F2" w:rsidR="00526733" w:rsidRDefault="00E973C7" w:rsidP="00526733">
            <w:pPr>
              <w:spacing w:beforeLines="40" w:before="96" w:afterLines="40" w:after="96" w:line="24" w:lineRule="atLeast"/>
              <w:rPr>
                <w:rFonts w:eastAsia="Times New Roman"/>
                <w:sz w:val="18"/>
                <w:szCs w:val="18"/>
                <w:lang w:val="en-GB" w:eastAsia="en-GB"/>
              </w:rPr>
            </w:pPr>
            <w:r w:rsidRPr="00E973C7">
              <w:rPr>
                <w:rFonts w:eastAsia="Times New Roman"/>
                <w:sz w:val="18"/>
                <w:szCs w:val="18"/>
                <w:lang w:val="en-GB" w:eastAsia="en-GB"/>
              </w:rPr>
              <w:t>The results of the two-sample MR showed a causal association between cognitive performance and meniscal injuries with an OR (95% CI) of 0.76 (0.66–0.88), P=2*10-4, suggesting that individuals with significant cognitive decline have a higher risk of meniscal injuries compared to the general population. Furthermore, statistical evidence from sensitivity analyses strongly supports our findings.</w:t>
            </w:r>
            <w:r w:rsidRPr="00E973C7">
              <w:rPr>
                <w:rFonts w:eastAsia="Times New Roman" w:hint="eastAsia"/>
                <w:sz w:val="18"/>
                <w:szCs w:val="18"/>
                <w:lang w:val="en-GB" w:eastAsia="en-GB"/>
              </w:rPr>
              <w:t xml:space="preserve"> </w:t>
            </w:r>
          </w:p>
        </w:tc>
      </w:tr>
      <w:tr w:rsidR="00526733" w:rsidRPr="00B853C6" w14:paraId="156B69E5" w14:textId="453FC5BE" w:rsidTr="003D447D">
        <w:tc>
          <w:tcPr>
            <w:tcW w:w="587" w:type="dxa"/>
            <w:shd w:val="clear" w:color="auto" w:fill="EEEEEE"/>
          </w:tcPr>
          <w:p w14:paraId="4C8A2215"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A4A5F16"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22EB891" w14:textId="35DEA636" w:rsidR="00526733" w:rsidRPr="00A1236D" w:rsidRDefault="00526733" w:rsidP="0052673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w:t>
            </w:r>
            <w:r w:rsidRPr="00A1236D">
              <w:rPr>
                <w:rFonts w:eastAsia="Times New Roman"/>
                <w:sz w:val="18"/>
                <w:szCs w:val="18"/>
                <w:lang w:val="en-GB" w:eastAsia="en-GB"/>
              </w:rPr>
              <w:lastRenderedPageBreak/>
              <w:t xml:space="preserve">carefully, clarifying that IV estimates may provide causal effects </w:t>
            </w:r>
            <w:r>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20" w:type="dxa"/>
            <w:shd w:val="clear" w:color="auto" w:fill="EEEEEE"/>
          </w:tcPr>
          <w:p w14:paraId="2FA4AA4D" w14:textId="5B059AD9" w:rsidR="00526733" w:rsidRPr="00A1236D" w:rsidRDefault="00E973C7" w:rsidP="00526733">
            <w:pPr>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lastRenderedPageBreak/>
              <w:t>4</w:t>
            </w:r>
          </w:p>
        </w:tc>
        <w:tc>
          <w:tcPr>
            <w:tcW w:w="4320" w:type="dxa"/>
            <w:shd w:val="clear" w:color="auto" w:fill="EEEEEE"/>
          </w:tcPr>
          <w:p w14:paraId="3A91F000" w14:textId="1E2DB857" w:rsidR="00526733" w:rsidRDefault="00E973C7" w:rsidP="00526733">
            <w:pPr>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t xml:space="preserve"> </w:t>
            </w:r>
            <w:r w:rsidRPr="00E973C7">
              <w:rPr>
                <w:rFonts w:eastAsia="Times New Roman"/>
                <w:sz w:val="18"/>
                <w:szCs w:val="18"/>
                <w:lang w:val="en-GB" w:eastAsia="en-GB"/>
              </w:rPr>
              <w:t xml:space="preserve">Possible reasons include: First, cognitive decline may reduce athletic capacity and activity levels, increasing the risk of accidental falls and athletic injuries leading to meniscal injuries. Second, cognitive impairment often accompanies a decline </w:t>
            </w:r>
            <w:r w:rsidRPr="00E973C7">
              <w:rPr>
                <w:rFonts w:eastAsia="Times New Roman"/>
                <w:sz w:val="18"/>
                <w:szCs w:val="18"/>
                <w:lang w:val="en-GB" w:eastAsia="en-GB"/>
              </w:rPr>
              <w:lastRenderedPageBreak/>
              <w:t xml:space="preserve">in balance and coordination, raising the risk of injury during daily activities, particularly to the meniscus. Third, cognitive impairment may cause delays in attention and reaction time, elevating the risk of injuries in sports and daily activities. Fourth, cognitive impairment is often associated with other health problems, such as cardiovascular disease or diabetes, which may increase the risk of meniscus injury. Additionally, some cognitive impairment treatments may affect physical abilities and balance. Fifth, cognitive impairment may lead to unhealthy lifestyles and </w:t>
            </w:r>
            <w:proofErr w:type="spellStart"/>
            <w:r w:rsidRPr="00E973C7">
              <w:rPr>
                <w:rFonts w:eastAsia="Times New Roman"/>
                <w:sz w:val="18"/>
                <w:szCs w:val="18"/>
                <w:lang w:val="en-GB" w:eastAsia="en-GB"/>
              </w:rPr>
              <w:t>behaviors</w:t>
            </w:r>
            <w:proofErr w:type="spellEnd"/>
            <w:r w:rsidRPr="00E973C7">
              <w:rPr>
                <w:rFonts w:eastAsia="Times New Roman"/>
                <w:sz w:val="18"/>
                <w:szCs w:val="18"/>
                <w:lang w:val="en-GB" w:eastAsia="en-GB"/>
              </w:rPr>
              <w:t>, such as physical inactivity and poor diet , indirectly increasing the risk of meniscus injury. Understanding the relationship between meniscus injuries and cognitive performance can enhance prevention strategies for meniscus injuries and mitigate the impact of cognitive impairment.</w:t>
            </w:r>
          </w:p>
        </w:tc>
      </w:tr>
      <w:tr w:rsidR="00526733" w:rsidRPr="00B853C6" w14:paraId="203390A0" w14:textId="367D17C4" w:rsidTr="003D447D">
        <w:tc>
          <w:tcPr>
            <w:tcW w:w="587" w:type="dxa"/>
            <w:shd w:val="clear" w:color="auto" w:fill="auto"/>
          </w:tcPr>
          <w:p w14:paraId="54CA3A27" w14:textId="77777777" w:rsidR="00526733" w:rsidRPr="00F0337F" w:rsidRDefault="00526733" w:rsidP="0052673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D25BA57" w14:textId="77777777" w:rsidR="00526733" w:rsidRPr="00F0337F" w:rsidRDefault="00526733" w:rsidP="0052673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B6A8315" w14:textId="77777777" w:rsidR="00526733" w:rsidRPr="00A1236D" w:rsidRDefault="00526733" w:rsidP="00526733">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20" w:type="dxa"/>
          </w:tcPr>
          <w:p w14:paraId="32FCF028" w14:textId="69C3BBF0" w:rsidR="00526733" w:rsidRPr="00A1236D" w:rsidRDefault="00E973C7" w:rsidP="00526733">
            <w:pPr>
              <w:tabs>
                <w:tab w:val="left" w:pos="1350"/>
              </w:tabs>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t>4</w:t>
            </w:r>
          </w:p>
        </w:tc>
        <w:tc>
          <w:tcPr>
            <w:tcW w:w="4320" w:type="dxa"/>
          </w:tcPr>
          <w:p w14:paraId="78058AE6" w14:textId="3B66F172" w:rsidR="00526733" w:rsidRDefault="00E973C7" w:rsidP="00E973C7">
            <w:pPr>
              <w:spacing w:beforeLines="40" w:before="96" w:afterLines="40" w:after="96" w:line="24" w:lineRule="atLeast"/>
              <w:rPr>
                <w:rFonts w:eastAsia="Times New Roman"/>
                <w:sz w:val="18"/>
                <w:szCs w:val="18"/>
                <w:lang w:val="en-GB" w:eastAsia="en-GB"/>
              </w:rPr>
            </w:pPr>
            <w:r w:rsidRPr="00E973C7">
              <w:rPr>
                <w:rFonts w:eastAsia="Times New Roman"/>
                <w:sz w:val="18"/>
                <w:szCs w:val="18"/>
                <w:lang w:val="en-GB" w:eastAsia="en-GB"/>
              </w:rPr>
              <w:t>Therefore, raising awareness of the dangers of cognitive impairment is important. Screening for meniscal injuries should be increased among individuals with cognitive impairment, enabling timely detection and treatment of meniscal injuries, which is beneficial for patient prognosis. For patients with meniscal injuries, improving cognitive ability should be advocated.</w:t>
            </w:r>
          </w:p>
        </w:tc>
      </w:tr>
      <w:tr w:rsidR="00526733" w:rsidRPr="00B853C6" w14:paraId="71FDAFC1" w14:textId="00A47F15" w:rsidTr="003D447D">
        <w:tc>
          <w:tcPr>
            <w:tcW w:w="587" w:type="dxa"/>
            <w:tcBorders>
              <w:bottom w:val="single" w:sz="6" w:space="0" w:color="7F7F7F"/>
            </w:tcBorders>
            <w:shd w:val="clear" w:color="auto" w:fill="EEEEEE"/>
          </w:tcPr>
          <w:p w14:paraId="7540155A"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822" w:type="dxa"/>
            <w:tcBorders>
              <w:bottom w:val="single" w:sz="6" w:space="0" w:color="7F7F7F"/>
            </w:tcBorders>
            <w:shd w:val="clear" w:color="auto" w:fill="EEEEEE"/>
          </w:tcPr>
          <w:p w14:paraId="3680059F" w14:textId="77777777" w:rsidR="00526733" w:rsidRPr="00F0337F" w:rsidRDefault="00526733" w:rsidP="0052673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7041" w:type="dxa"/>
            <w:tcBorders>
              <w:bottom w:val="single" w:sz="6" w:space="0" w:color="7F7F7F"/>
            </w:tcBorders>
            <w:shd w:val="clear" w:color="auto" w:fill="EEEEEE"/>
          </w:tcPr>
          <w:p w14:paraId="68647C33" w14:textId="77777777" w:rsidR="00526733" w:rsidRPr="00A1236D" w:rsidRDefault="00526733" w:rsidP="0052673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55EB5057" w:rsidR="00526733" w:rsidRPr="00A1236D" w:rsidRDefault="00E973C7" w:rsidP="00526733">
            <w:pPr>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t>4</w:t>
            </w:r>
          </w:p>
        </w:tc>
        <w:tc>
          <w:tcPr>
            <w:tcW w:w="4320" w:type="dxa"/>
            <w:tcBorders>
              <w:bottom w:val="single" w:sz="6" w:space="0" w:color="7F7F7F"/>
            </w:tcBorders>
            <w:shd w:val="clear" w:color="auto" w:fill="EEEEEE"/>
          </w:tcPr>
          <w:p w14:paraId="41ABF5A9" w14:textId="67D7F1AC" w:rsidR="00526733" w:rsidRDefault="00E973C7" w:rsidP="00526733">
            <w:pPr>
              <w:spacing w:beforeLines="40" w:before="96" w:afterLines="40" w:after="96" w:line="24" w:lineRule="atLeast"/>
              <w:rPr>
                <w:rFonts w:eastAsia="Times New Roman"/>
                <w:sz w:val="18"/>
                <w:szCs w:val="18"/>
                <w:lang w:val="en-GB" w:eastAsia="en-GB"/>
              </w:rPr>
            </w:pPr>
            <w:r w:rsidRPr="00C85C6B">
              <w:rPr>
                <w:rFonts w:eastAsia="Times New Roman"/>
                <w:sz w:val="18"/>
                <w:szCs w:val="18"/>
                <w:lang w:val="en-GB" w:eastAsia="en-GB"/>
              </w:rPr>
              <w:t>Our study has several limitations. First, due to data limitations, we did not stratify by age or sex. Second, the exposure and outcome analyses were confined to European populations. The generalizability of these findings to other populations needs further investigation.</w:t>
            </w:r>
          </w:p>
        </w:tc>
      </w:tr>
      <w:tr w:rsidR="00526733" w:rsidRPr="00B853C6" w14:paraId="57884E75" w14:textId="6FD41AE6" w:rsidTr="003D447D">
        <w:tc>
          <w:tcPr>
            <w:tcW w:w="587" w:type="dxa"/>
            <w:tcBorders>
              <w:top w:val="single" w:sz="6" w:space="0" w:color="7F7F7F"/>
            </w:tcBorders>
            <w:shd w:val="clear" w:color="auto" w:fill="auto"/>
          </w:tcPr>
          <w:p w14:paraId="2C4C694A"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0A6FFE33" w14:textId="77777777" w:rsidR="00526733" w:rsidRPr="00F0337F" w:rsidRDefault="00526733" w:rsidP="0052673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7041" w:type="dxa"/>
            <w:tcBorders>
              <w:top w:val="single" w:sz="6" w:space="0" w:color="7F7F7F"/>
            </w:tcBorders>
            <w:shd w:val="clear" w:color="auto" w:fill="auto"/>
          </w:tcPr>
          <w:p w14:paraId="0577947E" w14:textId="77777777" w:rsidR="00526733" w:rsidRPr="00F0337F" w:rsidRDefault="00526733" w:rsidP="0052673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526733" w:rsidRPr="00F0337F" w:rsidRDefault="00526733" w:rsidP="0052673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526733" w:rsidRDefault="00526733" w:rsidP="00526733">
            <w:pPr>
              <w:spacing w:beforeLines="40" w:before="96" w:afterLines="40" w:after="96" w:line="24" w:lineRule="atLeast"/>
              <w:rPr>
                <w:rFonts w:eastAsia="Cambria"/>
                <w:sz w:val="18"/>
                <w:szCs w:val="18"/>
                <w:lang w:val="en-GB" w:eastAsia="en-US"/>
              </w:rPr>
            </w:pPr>
          </w:p>
        </w:tc>
      </w:tr>
      <w:tr w:rsidR="00526733" w:rsidRPr="00B853C6" w14:paraId="0014C6D1" w14:textId="2FC4D004" w:rsidTr="003D447D">
        <w:tc>
          <w:tcPr>
            <w:tcW w:w="587" w:type="dxa"/>
            <w:shd w:val="clear" w:color="auto" w:fill="EEEEEE"/>
          </w:tcPr>
          <w:p w14:paraId="2336D08C"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822" w:type="dxa"/>
            <w:shd w:val="clear" w:color="auto" w:fill="EEEEEE"/>
          </w:tcPr>
          <w:p w14:paraId="08EB4FDF" w14:textId="77777777" w:rsidR="00526733" w:rsidRPr="00F0337F" w:rsidRDefault="00526733" w:rsidP="0052673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7041" w:type="dxa"/>
            <w:shd w:val="clear" w:color="auto" w:fill="EEEEEE"/>
          </w:tcPr>
          <w:p w14:paraId="4663DCA7" w14:textId="77777777" w:rsidR="00526733" w:rsidRPr="00F0337F" w:rsidRDefault="00526733" w:rsidP="0052673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352C7A32" w:rsidR="00526733" w:rsidRPr="00F0337F" w:rsidRDefault="00C85C6B" w:rsidP="00526733">
            <w:pPr>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t>5</w:t>
            </w:r>
          </w:p>
        </w:tc>
        <w:tc>
          <w:tcPr>
            <w:tcW w:w="4320" w:type="dxa"/>
            <w:shd w:val="clear" w:color="auto" w:fill="EEEEEE"/>
          </w:tcPr>
          <w:p w14:paraId="2C6CE5FF" w14:textId="0599EB79" w:rsidR="00526733" w:rsidRDefault="00C85C6B" w:rsidP="00526733">
            <w:pPr>
              <w:spacing w:beforeLines="40" w:before="96" w:afterLines="40" w:after="96" w:line="24" w:lineRule="atLeast"/>
              <w:rPr>
                <w:rFonts w:eastAsia="Times New Roman"/>
                <w:sz w:val="18"/>
                <w:szCs w:val="18"/>
                <w:lang w:val="en-GB" w:eastAsia="en-GB"/>
              </w:rPr>
            </w:pPr>
            <w:r w:rsidRPr="00C85C6B">
              <w:rPr>
                <w:rFonts w:eastAsia="Times New Roman"/>
                <w:sz w:val="18"/>
                <w:szCs w:val="18"/>
                <w:lang w:val="en-GB" w:eastAsia="en-GB"/>
              </w:rPr>
              <w:t xml:space="preserve">This research was funded by 2023 Key department project of Medical service and support capacity improvement subsidy funded by the State Administration of Traditional Chinese Medicine of the Ministry of Finance, Peak discipline of Traditional Chinese Medicine (Orthopedics and Traumatology of Integrated Traditional Chinese and Western Medicine), grant number No. </w:t>
            </w:r>
            <w:bookmarkStart w:id="4" w:name="OLE_LINK18"/>
            <w:r w:rsidRPr="00C85C6B">
              <w:rPr>
                <w:rFonts w:eastAsia="Times New Roman"/>
                <w:sz w:val="18"/>
                <w:szCs w:val="18"/>
                <w:lang w:val="en-GB" w:eastAsia="en-GB"/>
              </w:rPr>
              <w:t>YC-2023-0601</w:t>
            </w:r>
            <w:bookmarkEnd w:id="4"/>
            <w:r w:rsidRPr="00C85C6B">
              <w:rPr>
                <w:rFonts w:eastAsia="Times New Roman"/>
                <w:sz w:val="18"/>
                <w:szCs w:val="18"/>
                <w:lang w:val="en-GB" w:eastAsia="en-GB"/>
              </w:rPr>
              <w:t xml:space="preserve">. Shi </w:t>
            </w:r>
            <w:proofErr w:type="spellStart"/>
            <w:r w:rsidRPr="00C85C6B">
              <w:rPr>
                <w:rFonts w:eastAsia="Times New Roman"/>
                <w:sz w:val="18"/>
                <w:szCs w:val="18"/>
                <w:lang w:val="en-GB" w:eastAsia="en-GB"/>
              </w:rPr>
              <w:t>Yinyu</w:t>
            </w:r>
            <w:proofErr w:type="spellEnd"/>
            <w:r w:rsidRPr="00C85C6B">
              <w:rPr>
                <w:rFonts w:eastAsia="Times New Roman"/>
                <w:sz w:val="18"/>
                <w:szCs w:val="18"/>
                <w:lang w:val="en-GB" w:eastAsia="en-GB"/>
              </w:rPr>
              <w:t xml:space="preserve"> national famous traditional Chinese medicine inheritance studio, grant number </w:t>
            </w:r>
            <w:r w:rsidRPr="00C85C6B">
              <w:rPr>
                <w:rFonts w:eastAsia="Times New Roman"/>
                <w:sz w:val="18"/>
                <w:szCs w:val="18"/>
                <w:lang w:val="en-GB" w:eastAsia="en-GB"/>
              </w:rPr>
              <w:lastRenderedPageBreak/>
              <w:t>No. YC-2023-0120. And Construction of key departments coordinated by traditional Chinese and western medicine.</w:t>
            </w:r>
          </w:p>
        </w:tc>
      </w:tr>
      <w:tr w:rsidR="00526733" w:rsidRPr="00B853C6" w14:paraId="1B22CB41" w14:textId="102364C9" w:rsidTr="003D447D">
        <w:tc>
          <w:tcPr>
            <w:tcW w:w="587" w:type="dxa"/>
            <w:shd w:val="clear" w:color="auto" w:fill="auto"/>
          </w:tcPr>
          <w:p w14:paraId="381BF2BA"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19</w:t>
            </w:r>
          </w:p>
        </w:tc>
        <w:tc>
          <w:tcPr>
            <w:tcW w:w="1822" w:type="dxa"/>
            <w:shd w:val="clear" w:color="auto" w:fill="auto"/>
          </w:tcPr>
          <w:p w14:paraId="233BA942" w14:textId="77777777" w:rsidR="00526733" w:rsidRPr="00F0337F" w:rsidRDefault="00526733" w:rsidP="0052673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7041" w:type="dxa"/>
            <w:shd w:val="clear" w:color="auto" w:fill="auto"/>
          </w:tcPr>
          <w:p w14:paraId="42D9085E" w14:textId="77777777" w:rsidR="00526733" w:rsidRPr="00F0337F" w:rsidRDefault="00526733" w:rsidP="0052673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20" w:type="dxa"/>
          </w:tcPr>
          <w:p w14:paraId="5725EE6D" w14:textId="3A688572" w:rsidR="00526733" w:rsidRPr="00F0337F" w:rsidRDefault="00086E02" w:rsidP="00526733">
            <w:pPr>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t>5</w:t>
            </w:r>
          </w:p>
        </w:tc>
        <w:tc>
          <w:tcPr>
            <w:tcW w:w="4320" w:type="dxa"/>
          </w:tcPr>
          <w:p w14:paraId="5FDFE06F" w14:textId="77777777" w:rsidR="00086E02" w:rsidRPr="00086E02" w:rsidRDefault="00086E02" w:rsidP="00086E02">
            <w:pPr>
              <w:spacing w:beforeLines="40" w:before="96" w:afterLines="40" w:after="96" w:line="24" w:lineRule="atLeast"/>
              <w:rPr>
                <w:rFonts w:eastAsia="Times New Roman"/>
                <w:sz w:val="18"/>
                <w:szCs w:val="18"/>
                <w:lang w:val="en-GB" w:eastAsia="en-GB"/>
              </w:rPr>
            </w:pPr>
            <w:r w:rsidRPr="00086E02">
              <w:rPr>
                <w:rFonts w:eastAsia="Times New Roman"/>
                <w:sz w:val="18"/>
                <w:szCs w:val="18"/>
                <w:lang w:val="en-GB" w:eastAsia="en-GB"/>
              </w:rPr>
              <w:t>The original contributions presented in the study are included in the article/Supplementary material, further inquiries can be directed to the corresponding author.</w:t>
            </w:r>
          </w:p>
          <w:p w14:paraId="38DE3AA7" w14:textId="77777777" w:rsidR="00526733" w:rsidRPr="00086E02" w:rsidRDefault="00526733" w:rsidP="00086E02">
            <w:pPr>
              <w:spacing w:beforeLines="40" w:before="96" w:afterLines="40" w:after="96" w:line="24" w:lineRule="atLeast"/>
              <w:rPr>
                <w:rFonts w:eastAsia="Times New Roman"/>
                <w:sz w:val="18"/>
                <w:szCs w:val="18"/>
                <w:lang w:val="en-GB" w:eastAsia="en-GB"/>
              </w:rPr>
            </w:pPr>
          </w:p>
        </w:tc>
      </w:tr>
      <w:tr w:rsidR="00526733" w:rsidRPr="00B853C6" w14:paraId="1BFE6A86" w14:textId="26747AA0" w:rsidTr="003D447D">
        <w:tc>
          <w:tcPr>
            <w:tcW w:w="587" w:type="dxa"/>
            <w:tcBorders>
              <w:bottom w:val="single" w:sz="6" w:space="0" w:color="7F7F7F"/>
            </w:tcBorders>
            <w:shd w:val="clear" w:color="auto" w:fill="EEEEEE"/>
          </w:tcPr>
          <w:p w14:paraId="20DC2C92" w14:textId="77777777" w:rsidR="00526733" w:rsidRPr="00F0337F" w:rsidRDefault="00526733" w:rsidP="0052673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822" w:type="dxa"/>
            <w:tcBorders>
              <w:bottom w:val="single" w:sz="6" w:space="0" w:color="7F7F7F"/>
            </w:tcBorders>
            <w:shd w:val="clear" w:color="auto" w:fill="EEEEEE"/>
          </w:tcPr>
          <w:p w14:paraId="39A69A1B" w14:textId="77777777" w:rsidR="00526733" w:rsidRPr="00F0337F" w:rsidRDefault="00526733" w:rsidP="0052673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7041" w:type="dxa"/>
            <w:tcBorders>
              <w:bottom w:val="single" w:sz="6" w:space="0" w:color="7F7F7F"/>
            </w:tcBorders>
            <w:shd w:val="clear" w:color="auto" w:fill="EEEEEE"/>
          </w:tcPr>
          <w:p w14:paraId="4772D912" w14:textId="77777777" w:rsidR="00526733" w:rsidRPr="00F0337F" w:rsidRDefault="00526733" w:rsidP="0052673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1A5993E1" w:rsidR="00526733" w:rsidRPr="00F0337F" w:rsidRDefault="00086E02" w:rsidP="00526733">
            <w:pPr>
              <w:spacing w:beforeLines="40" w:before="96" w:afterLines="40" w:after="96" w:line="24" w:lineRule="atLeast"/>
              <w:rPr>
                <w:rFonts w:eastAsia="Times New Roman" w:hint="eastAsia"/>
                <w:sz w:val="18"/>
                <w:szCs w:val="18"/>
                <w:lang w:val="en-GB" w:eastAsia="zh-CN"/>
              </w:rPr>
            </w:pPr>
            <w:r>
              <w:rPr>
                <w:rFonts w:eastAsia="Times New Roman" w:hint="eastAsia"/>
                <w:sz w:val="18"/>
                <w:szCs w:val="18"/>
                <w:lang w:val="en-GB" w:eastAsia="zh-CN"/>
              </w:rPr>
              <w:t>5</w:t>
            </w:r>
          </w:p>
        </w:tc>
        <w:tc>
          <w:tcPr>
            <w:tcW w:w="4320" w:type="dxa"/>
            <w:tcBorders>
              <w:bottom w:val="single" w:sz="6" w:space="0" w:color="7F7F7F"/>
            </w:tcBorders>
            <w:shd w:val="clear" w:color="auto" w:fill="EEEEEE"/>
          </w:tcPr>
          <w:p w14:paraId="3FBEEB67" w14:textId="77777777" w:rsidR="00086E02" w:rsidRPr="00086E02" w:rsidRDefault="00086E02" w:rsidP="00086E02">
            <w:pPr>
              <w:spacing w:beforeLines="40" w:before="96" w:afterLines="40" w:after="96" w:line="24" w:lineRule="atLeast"/>
              <w:rPr>
                <w:rFonts w:eastAsia="Times New Roman"/>
                <w:sz w:val="18"/>
                <w:szCs w:val="18"/>
                <w:lang w:val="en-GB" w:eastAsia="en-GB"/>
              </w:rPr>
            </w:pPr>
            <w:r w:rsidRPr="00086E02">
              <w:rPr>
                <w:rFonts w:eastAsia="Times New Roman"/>
                <w:sz w:val="18"/>
                <w:szCs w:val="18"/>
                <w:lang w:val="en-GB" w:eastAsia="en-GB"/>
              </w:rPr>
              <w:t>The authors declare no conflicts of interest.</w:t>
            </w:r>
          </w:p>
          <w:p w14:paraId="5D9123A4" w14:textId="77777777" w:rsidR="00526733" w:rsidRPr="00086E02" w:rsidRDefault="00526733" w:rsidP="00086E02">
            <w:pPr>
              <w:spacing w:beforeLines="40" w:before="96" w:afterLines="40" w:after="96" w:line="24" w:lineRule="atLeast"/>
              <w:rPr>
                <w:rFonts w:eastAsia="Times New Roman"/>
                <w:sz w:val="18"/>
                <w:szCs w:val="18"/>
                <w:lang w:val="en-GB" w:eastAsia="en-GB"/>
              </w:rPr>
            </w:pPr>
          </w:p>
        </w:tc>
      </w:tr>
    </w:tbl>
    <w:p w14:paraId="386115B2" w14:textId="17D6D8D3" w:rsidR="00800ED7" w:rsidRPr="009854A9" w:rsidRDefault="00D65199" w:rsidP="005520ED">
      <w:pPr>
        <w:spacing w:before="240" w:after="240"/>
        <w:rPr>
          <w:sz w:val="19"/>
          <w:szCs w:val="19"/>
        </w:rPr>
      </w:pPr>
      <w:r w:rsidRPr="009854A9">
        <w:rPr>
          <w:sz w:val="19"/>
          <w:szCs w:val="19"/>
        </w:rPr>
        <w:t xml:space="preserve">This checklist is copyrighted by the Equator Network under the Creative Commons Attribution 3.0 </w:t>
      </w:r>
      <w:proofErr w:type="spellStart"/>
      <w:r w:rsidRPr="009854A9">
        <w:rPr>
          <w:sz w:val="19"/>
          <w:szCs w:val="19"/>
        </w:rPr>
        <w:t>Unported</w:t>
      </w:r>
      <w:proofErr w:type="spellEnd"/>
      <w:r w:rsidRPr="009854A9">
        <w:rPr>
          <w:sz w:val="19"/>
          <w:szCs w:val="19"/>
        </w:rPr>
        <w:t xml:space="preserve">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D447D">
      <w:footerReference w:type="even" r:id="rId12"/>
      <w:footerReference w:type="default" r:id="rId13"/>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DEE74E" w14:textId="77777777" w:rsidR="00E150EE" w:rsidRDefault="00E150EE">
      <w:pPr>
        <w:spacing w:line="240" w:lineRule="auto"/>
      </w:pPr>
      <w:r>
        <w:separator/>
      </w:r>
    </w:p>
  </w:endnote>
  <w:endnote w:type="continuationSeparator" w:id="0">
    <w:p w14:paraId="3A2ECB6C" w14:textId="77777777" w:rsidR="00E150EE" w:rsidRDefault="00E150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4A166" w14:textId="77777777" w:rsidR="00CB1B9F" w:rsidRDefault="00000000" w:rsidP="00A365E5">
    <w:pPr>
      <w:pStyle w:val="a3"/>
      <w:framePr w:wrap="none" w:vAnchor="text" w:hAnchor="margin" w:xAlign="right" w:y="1"/>
      <w:rPr>
        <w:rStyle w:val="a5"/>
      </w:rPr>
    </w:pPr>
  </w:p>
  <w:p w14:paraId="40A0897E" w14:textId="77777777" w:rsidR="00CB1B9F" w:rsidRDefault="00000000"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B7B5E" w14:textId="0AA16358" w:rsidR="00CB1B9F"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CB1B9F" w:rsidRDefault="00000000"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90A4A" w14:textId="77777777" w:rsidR="00E150EE" w:rsidRDefault="00E150EE">
      <w:pPr>
        <w:spacing w:line="240" w:lineRule="auto"/>
      </w:pPr>
      <w:r>
        <w:separator/>
      </w:r>
    </w:p>
  </w:footnote>
  <w:footnote w:type="continuationSeparator" w:id="0">
    <w:p w14:paraId="32E18ABE" w14:textId="77777777" w:rsidR="00E150EE" w:rsidRDefault="00E150E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bordersDoNotSurroundHeader/>
  <w:bordersDoNotSurroundFooter/>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3168A"/>
    <w:rsid w:val="00086E02"/>
    <w:rsid w:val="000A4CE8"/>
    <w:rsid w:val="000F3921"/>
    <w:rsid w:val="000F5C9A"/>
    <w:rsid w:val="001475FC"/>
    <w:rsid w:val="001A1770"/>
    <w:rsid w:val="00242E36"/>
    <w:rsid w:val="002663E6"/>
    <w:rsid w:val="00285AEE"/>
    <w:rsid w:val="003325E9"/>
    <w:rsid w:val="003D447D"/>
    <w:rsid w:val="003D47DD"/>
    <w:rsid w:val="00431E18"/>
    <w:rsid w:val="004B5CBB"/>
    <w:rsid w:val="004E11D4"/>
    <w:rsid w:val="00514462"/>
    <w:rsid w:val="00526733"/>
    <w:rsid w:val="00544751"/>
    <w:rsid w:val="005520ED"/>
    <w:rsid w:val="005A0D0D"/>
    <w:rsid w:val="005D5632"/>
    <w:rsid w:val="00685D31"/>
    <w:rsid w:val="006912BF"/>
    <w:rsid w:val="006A41D0"/>
    <w:rsid w:val="006B08D5"/>
    <w:rsid w:val="007216F4"/>
    <w:rsid w:val="007E31E5"/>
    <w:rsid w:val="007E362C"/>
    <w:rsid w:val="00804498"/>
    <w:rsid w:val="008E34ED"/>
    <w:rsid w:val="00914C56"/>
    <w:rsid w:val="00950729"/>
    <w:rsid w:val="009854A9"/>
    <w:rsid w:val="009B439E"/>
    <w:rsid w:val="009E033F"/>
    <w:rsid w:val="00A07F09"/>
    <w:rsid w:val="00BB6328"/>
    <w:rsid w:val="00C85C6B"/>
    <w:rsid w:val="00D65199"/>
    <w:rsid w:val="00D8098C"/>
    <w:rsid w:val="00E150EE"/>
    <w:rsid w:val="00E973C7"/>
    <w:rsid w:val="00EB55C5"/>
    <w:rsid w:val="00ED48A3"/>
    <w:rsid w:val="00EF4B9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 w:type="character" w:styleId="a7">
    <w:name w:val="Hyperlink"/>
    <w:basedOn w:val="a0"/>
    <w:uiPriority w:val="99"/>
    <w:semiHidden/>
    <w:unhideWhenUsed/>
    <w:rsid w:val="007E362C"/>
    <w:rPr>
      <w:color w:val="0563C1" w:themeColor="hyperlink"/>
      <w:u w:val="single"/>
    </w:rPr>
  </w:style>
  <w:style w:type="paragraph" w:customStyle="1" w:styleId="MDPI31text">
    <w:name w:val="MDPI_3.1_text"/>
    <w:qFormat/>
    <w:rsid w:val="00086E02"/>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val="en-US"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was.mrcieu.ac.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gwas.mrcieu.ac.uk/"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3.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782</TotalTime>
  <Pages>8</Pages>
  <Words>3672</Words>
  <Characters>20935</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24558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chao li</cp:lastModifiedBy>
  <cp:revision>6</cp:revision>
  <cp:lastPrinted>2021-09-28T07:08:00Z</cp:lastPrinted>
  <dcterms:created xsi:type="dcterms:W3CDTF">2022-04-07T08:09:00Z</dcterms:created>
  <dcterms:modified xsi:type="dcterms:W3CDTF">2024-06-16T08:18:00Z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