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A6793F" w14:textId="77777777" w:rsidR="003F4B71" w:rsidRDefault="003F4B71" w:rsidP="003F4B71">
      <w:pPr>
        <w:pStyle w:val="Heading2"/>
      </w:pPr>
      <w:r>
        <w:t xml:space="preserve">Appendix A – Zero-Order Tier 2 </w:t>
      </w:r>
      <w:proofErr w:type="spellStart"/>
      <w:r>
        <w:t>OSeMOSYS</w:t>
      </w:r>
      <w:proofErr w:type="spellEnd"/>
      <w:r>
        <w:t xml:space="preserve"> Model </w:t>
      </w:r>
    </w:p>
    <w:p w14:paraId="44861B89" w14:textId="77777777" w:rsidR="003F4B71" w:rsidRDefault="003F4B71" w:rsidP="003F4B71">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67DB32B4" w14:textId="77777777" w:rsidR="003F4B71" w:rsidRDefault="003F4B71" w:rsidP="003F4B71">
      <w:r>
        <w:t xml:space="preserve">U4RIA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U4RIA goals in that: </w:t>
      </w:r>
    </w:p>
    <w:p w14:paraId="5F351EB9" w14:textId="77777777" w:rsidR="003F4B71" w:rsidRDefault="003F4B71" w:rsidP="003F4B71">
      <w:pPr>
        <w:pStyle w:val="ListBullet"/>
      </w:pPr>
      <w:r>
        <w:t>We develop examples of results that can be used by other research communities, including energy and transport, and to aid mitigation strategies.</w:t>
      </w:r>
    </w:p>
    <w:p w14:paraId="13E8784D" w14:textId="77777777" w:rsidR="003F4B71" w:rsidRDefault="003F4B71" w:rsidP="003F4B71">
      <w:pPr>
        <w:pStyle w:val="ListBullet"/>
      </w:pPr>
      <w:r>
        <w:t xml:space="preserve">The illustrative analyses are retrievable, reusable, repeatable. </w:t>
      </w:r>
    </w:p>
    <w:p w14:paraId="585BD453" w14:textId="77777777" w:rsidR="003F4B71" w:rsidRDefault="003F4B71" w:rsidP="003F4B71">
      <w:pPr>
        <w:pStyle w:val="ListBullet"/>
      </w:pPr>
      <w:r>
        <w:t>As data are defined, elements of interoperability are feasible.</w:t>
      </w:r>
    </w:p>
    <w:p w14:paraId="55ED5063" w14:textId="77777777" w:rsidR="003F4B71" w:rsidRDefault="003F4B71" w:rsidP="003F4B71">
      <w:pPr>
        <w:pStyle w:val="ListBullet"/>
      </w:pPr>
      <w:r>
        <w:t>And by virtue of the above the analysis could be audited or verified (that is not to say that it is ‘accurate’ but simply reproducible).</w:t>
      </w:r>
    </w:p>
    <w:p w14:paraId="0C31D6CF" w14:textId="77777777" w:rsidR="003F4B71" w:rsidRDefault="003F4B71" w:rsidP="003F4B71">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6F0A8BCD" w14:textId="0B27FEE0" w:rsidR="003F4B71" w:rsidRDefault="003F4B71" w:rsidP="003F4B71">
      <w:r>
        <w:rPr>
          <w:noProof/>
        </w:rPr>
        <w:lastRenderedPageBreak/>
        <w:drawing>
          <wp:inline distT="0" distB="0" distL="0" distR="0" wp14:anchorId="34F75969" wp14:editId="434D64FC">
            <wp:extent cx="5476875" cy="561022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476875" cy="5610225"/>
                    </a:xfrm>
                    <a:prstGeom prst="rect">
                      <a:avLst/>
                    </a:prstGeom>
                    <a:noFill/>
                    <a:ln>
                      <a:noFill/>
                    </a:ln>
                  </pic:spPr>
                </pic:pic>
              </a:graphicData>
            </a:graphic>
          </wp:inline>
        </w:drawing>
      </w:r>
    </w:p>
    <w:p w14:paraId="02A2380E" w14:textId="77777777" w:rsidR="003F4B71" w:rsidRDefault="003F4B71" w:rsidP="003F4B71">
      <w:r>
        <w:t xml:space="preserve">Figure A1: Reference Energy System </w:t>
      </w:r>
    </w:p>
    <w:p w14:paraId="244D18E0" w14:textId="77777777" w:rsidR="003F4B71" w:rsidRDefault="003F4B71" w:rsidP="003F4B71">
      <w:pPr>
        <w:pStyle w:val="Heading2"/>
      </w:pPr>
      <w:r>
        <w:t>A1 Model Assumptions</w:t>
      </w:r>
    </w:p>
    <w:p w14:paraId="3CC00E29" w14:textId="77777777" w:rsidR="003F4B71" w:rsidRDefault="003F4B71" w:rsidP="003F4B71">
      <w:r>
        <w:t xml:space="preserve">Key assumptions used in model development are outlined below. </w:t>
      </w:r>
    </w:p>
    <w:p w14:paraId="2EEC21FF" w14:textId="77777777" w:rsidR="003F4B71" w:rsidRDefault="003F4B71" w:rsidP="003F4B71">
      <w:pPr>
        <w:pStyle w:val="Heading3"/>
      </w:pPr>
      <w:r>
        <w:t xml:space="preserve">Supply-Side Assumptions </w:t>
      </w:r>
    </w:p>
    <w:p w14:paraId="33E10B14" w14:textId="77777777" w:rsidR="003F4B71" w:rsidRDefault="003F4B71" w:rsidP="003F4B71">
      <w:r>
        <w:t xml:space="preserve">The share of total demand that can be met by off-grid solar PV is constrained based on the optimal balance of on- and off-grid provision in a least cost scenario for 100% electricity access by 2030 from the Global Electrification Platform [25].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[26]. The maximum share of total demand that can be met by variable renewables is </w:t>
      </w:r>
      <w:r>
        <w:lastRenderedPageBreak/>
        <w:t xml:space="preserve">constrained as follows: utility-scale PV, onshore wind and utility-scale PV with storage are each permitted to meet up to 15% of demand; offshore wind can meet up to 10% of demand and onshore wind with storage can meet 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[27]. </w:t>
      </w:r>
    </w:p>
    <w:p w14:paraId="5B72D721" w14:textId="77777777" w:rsidR="003F4B71" w:rsidRDefault="003F4B71" w:rsidP="003F4B71">
      <w:pPr>
        <w:pStyle w:val="Heading3"/>
      </w:pPr>
      <w:r>
        <w:t xml:space="preserve">Demand-Side Assumptions </w:t>
      </w:r>
    </w:p>
    <w:p w14:paraId="5FB3F729" w14:textId="77777777" w:rsidR="003F4B71" w:rsidRDefault="003F4B71" w:rsidP="003F4B71">
      <w:r>
        <w:t xml:space="preserve">Generic techno-economic data for demand-side technologies (cooking, </w:t>
      </w:r>
      <w:proofErr w:type="gramStart"/>
      <w:r>
        <w:t>heating</w:t>
      </w:r>
      <w:proofErr w:type="gramEnd"/>
      <w:r>
        <w:t xml:space="preserve"> and transport) were used [28,29]. The total electricity demand shown in Figure 4 was split by sector based on the proportions of demand in historical energy balance data [27].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w:t>
      </w:r>
    </w:p>
    <w:p w14:paraId="161DC87F" w14:textId="77777777" w:rsidR="003F4B71" w:rsidRDefault="003F4B71" w:rsidP="003F4B71">
      <w:pPr>
        <w:pStyle w:val="Heading3"/>
      </w:pPr>
      <w:r>
        <w:t xml:space="preserve">Time Representation and Discount Rate </w:t>
      </w:r>
    </w:p>
    <w:p w14:paraId="0FA1797F" w14:textId="77777777" w:rsidR="003F4B71" w:rsidRDefault="003F4B71" w:rsidP="003F4B71">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40BEA9F2" w14:textId="77777777" w:rsidR="003F4B71" w:rsidRDefault="003F4B71" w:rsidP="003F4B71">
      <w:pPr>
        <w:pStyle w:val="Heading2"/>
      </w:pPr>
      <w:r>
        <w:t xml:space="preserve">A2 Scenario Definitions </w:t>
      </w:r>
    </w:p>
    <w:p w14:paraId="6D8A7437" w14:textId="77777777" w:rsidR="003F4B71" w:rsidRDefault="003F4B71" w:rsidP="003F4B71">
      <w:r>
        <w:t xml:space="preserve">Three stylized scenarios are modelled: Fossil Future, Least Cost and Net Zero by 2050.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739950DF" w14:textId="77777777" w:rsidR="003F4B71" w:rsidRDefault="003F4B71" w:rsidP="003F4B71">
      <w:r>
        <w:t xml:space="preserve">Table A1: Definitions of the three model scenarios. </w:t>
      </w:r>
    </w:p>
    <w:tbl>
      <w:tblPr>
        <w:tblStyle w:val="TableGrid"/>
        <w:tblW w:w="0" w:type="auto"/>
        <w:tblInd w:w="0" w:type="dxa"/>
        <w:tblLook w:val="04A0" w:firstRow="1" w:lastRow="0" w:firstColumn="1" w:lastColumn="0" w:noHBand="0" w:noVBand="1"/>
      </w:tblPr>
      <w:tblGrid>
        <w:gridCol w:w="4320"/>
        <w:gridCol w:w="4320"/>
      </w:tblGrid>
      <w:tr w:rsidR="003F4B71" w14:paraId="13C45F8E" w14:textId="77777777" w:rsidTr="003F4B71">
        <w:tc>
          <w:tcPr>
            <w:tcW w:w="4320" w:type="dxa"/>
            <w:tcBorders>
              <w:top w:val="single" w:sz="4" w:space="0" w:color="auto"/>
              <w:left w:val="single" w:sz="4" w:space="0" w:color="auto"/>
              <w:bottom w:val="single" w:sz="4" w:space="0" w:color="auto"/>
              <w:right w:val="single" w:sz="4" w:space="0" w:color="auto"/>
            </w:tcBorders>
            <w:hideMark/>
          </w:tcPr>
          <w:p w14:paraId="5BC0749E" w14:textId="77777777" w:rsidR="003F4B71" w:rsidRDefault="003F4B71">
            <w:pPr>
              <w:spacing w:after="0" w:line="240" w:lineRule="auto"/>
            </w:pPr>
            <w:r>
              <w:t>Scenario</w:t>
            </w:r>
          </w:p>
        </w:tc>
        <w:tc>
          <w:tcPr>
            <w:tcW w:w="4320" w:type="dxa"/>
            <w:tcBorders>
              <w:top w:val="single" w:sz="4" w:space="0" w:color="auto"/>
              <w:left w:val="single" w:sz="4" w:space="0" w:color="auto"/>
              <w:bottom w:val="single" w:sz="4" w:space="0" w:color="auto"/>
              <w:right w:val="single" w:sz="4" w:space="0" w:color="auto"/>
            </w:tcBorders>
            <w:hideMark/>
          </w:tcPr>
          <w:p w14:paraId="0146CA1D" w14:textId="77777777" w:rsidR="003F4B71" w:rsidRDefault="003F4B71">
            <w:pPr>
              <w:spacing w:after="0" w:line="240" w:lineRule="auto"/>
            </w:pPr>
            <w:r>
              <w:t>Definition</w:t>
            </w:r>
          </w:p>
        </w:tc>
      </w:tr>
      <w:tr w:rsidR="003F4B71" w14:paraId="049F7EB7" w14:textId="77777777" w:rsidTr="003F4B71">
        <w:tc>
          <w:tcPr>
            <w:tcW w:w="4320" w:type="dxa"/>
            <w:tcBorders>
              <w:top w:val="single" w:sz="4" w:space="0" w:color="auto"/>
              <w:left w:val="single" w:sz="4" w:space="0" w:color="auto"/>
              <w:bottom w:val="single" w:sz="4" w:space="0" w:color="auto"/>
              <w:right w:val="single" w:sz="4" w:space="0" w:color="auto"/>
            </w:tcBorders>
            <w:hideMark/>
          </w:tcPr>
          <w:p w14:paraId="6F9273B8" w14:textId="77777777" w:rsidR="003F4B71" w:rsidRDefault="003F4B71">
            <w:pPr>
              <w:spacing w:after="0" w:line="240" w:lineRule="auto"/>
            </w:pPr>
            <w:r>
              <w:t xml:space="preserve">Fossil Future </w:t>
            </w:r>
          </w:p>
        </w:tc>
        <w:tc>
          <w:tcPr>
            <w:tcW w:w="4320" w:type="dxa"/>
            <w:tcBorders>
              <w:top w:val="single" w:sz="4" w:space="0" w:color="auto"/>
              <w:left w:val="single" w:sz="4" w:space="0" w:color="auto"/>
              <w:bottom w:val="single" w:sz="4" w:space="0" w:color="auto"/>
              <w:right w:val="single" w:sz="4" w:space="0" w:color="auto"/>
            </w:tcBorders>
            <w:hideMark/>
          </w:tcPr>
          <w:p w14:paraId="606E5AD5" w14:textId="77777777" w:rsidR="003F4B71" w:rsidRDefault="003F4B71">
            <w:pPr>
              <w:spacing w:after="0" w:line="240" w:lineRule="auto"/>
            </w:pPr>
            <w:r>
              <w:t xml:space="preserve">No new investments in renewable or nuclear power generation, electric stoves and heating, electric transport or energy efficiency are permitted. </w:t>
            </w:r>
          </w:p>
        </w:tc>
      </w:tr>
      <w:tr w:rsidR="003F4B71" w14:paraId="2F65A40C" w14:textId="77777777" w:rsidTr="003F4B71">
        <w:tc>
          <w:tcPr>
            <w:tcW w:w="4320" w:type="dxa"/>
            <w:tcBorders>
              <w:top w:val="single" w:sz="4" w:space="0" w:color="auto"/>
              <w:left w:val="single" w:sz="4" w:space="0" w:color="auto"/>
              <w:bottom w:val="single" w:sz="4" w:space="0" w:color="auto"/>
              <w:right w:val="single" w:sz="4" w:space="0" w:color="auto"/>
            </w:tcBorders>
            <w:hideMark/>
          </w:tcPr>
          <w:p w14:paraId="75CCE414" w14:textId="77777777" w:rsidR="003F4B71" w:rsidRDefault="003F4B71">
            <w:pPr>
              <w:spacing w:after="0" w:line="240" w:lineRule="auto"/>
            </w:pPr>
            <w:r>
              <w:t xml:space="preserve">Least Cost </w:t>
            </w:r>
          </w:p>
        </w:tc>
        <w:tc>
          <w:tcPr>
            <w:tcW w:w="4320" w:type="dxa"/>
            <w:tcBorders>
              <w:top w:val="single" w:sz="4" w:space="0" w:color="auto"/>
              <w:left w:val="single" w:sz="4" w:space="0" w:color="auto"/>
              <w:bottom w:val="single" w:sz="4" w:space="0" w:color="auto"/>
              <w:right w:val="single" w:sz="4" w:space="0" w:color="auto"/>
            </w:tcBorders>
            <w:hideMark/>
          </w:tcPr>
          <w:p w14:paraId="5056DCE9" w14:textId="77777777" w:rsidR="003F4B71" w:rsidRDefault="003F4B71">
            <w:pPr>
              <w:spacing w:after="0" w:line="240" w:lineRule="auto"/>
            </w:pPr>
            <w:r>
              <w:t xml:space="preserve">No new investment in nuclear power is permitted. Gradual investment constraints are applied to demand-side fuel-switching and energy efficiency, whereby only up to 5% </w:t>
            </w:r>
            <w:r>
              <w:lastRenderedPageBreak/>
              <w:t xml:space="preserve">of each technology’s 2050 capacity in a run without demand-side investment constraints can be invested in annually. No additional constraints are applied to find the cost-optimal solution. </w:t>
            </w:r>
          </w:p>
        </w:tc>
      </w:tr>
      <w:tr w:rsidR="003F4B71" w14:paraId="57C28C5D" w14:textId="77777777" w:rsidTr="003F4B71">
        <w:tc>
          <w:tcPr>
            <w:tcW w:w="4320" w:type="dxa"/>
            <w:tcBorders>
              <w:top w:val="single" w:sz="4" w:space="0" w:color="auto"/>
              <w:left w:val="single" w:sz="4" w:space="0" w:color="auto"/>
              <w:bottom w:val="single" w:sz="4" w:space="0" w:color="auto"/>
              <w:right w:val="single" w:sz="4" w:space="0" w:color="auto"/>
            </w:tcBorders>
            <w:hideMark/>
          </w:tcPr>
          <w:p w14:paraId="69532C2F" w14:textId="77777777" w:rsidR="003F4B71" w:rsidRDefault="003F4B71">
            <w:pPr>
              <w:spacing w:after="0" w:line="240" w:lineRule="auto"/>
            </w:pPr>
            <w:r>
              <w:lastRenderedPageBreak/>
              <w:t xml:space="preserve">Net Zero by 2050 </w:t>
            </w:r>
          </w:p>
        </w:tc>
        <w:tc>
          <w:tcPr>
            <w:tcW w:w="4320" w:type="dxa"/>
            <w:tcBorders>
              <w:top w:val="single" w:sz="4" w:space="0" w:color="auto"/>
              <w:left w:val="single" w:sz="4" w:space="0" w:color="auto"/>
              <w:bottom w:val="single" w:sz="4" w:space="0" w:color="auto"/>
              <w:right w:val="single" w:sz="4" w:space="0" w:color="auto"/>
            </w:tcBorders>
            <w:hideMark/>
          </w:tcPr>
          <w:p w14:paraId="36D30062" w14:textId="77777777" w:rsidR="003F4B71" w:rsidRDefault="003F4B71">
            <w:pPr>
              <w:spacing w:after="0" w:line="240" w:lineRule="auto"/>
            </w:pPr>
            <w:r>
              <w:t xml:space="preserve">Domestic production and imports of fossil fuels and biomass gradually decline to 0 in 2050, beginning in 2021.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5D8FA0AD" w14:textId="77777777" w:rsidR="003F4B71" w:rsidRDefault="003F4B71" w:rsidP="003F4B71">
      <w:pPr>
        <w:pStyle w:val="Heading2"/>
      </w:pPr>
      <w:r>
        <w:t>A3 Scenario Results for Gabon</w:t>
      </w:r>
    </w:p>
    <w:p w14:paraId="6A140555" w14:textId="77777777" w:rsidR="003F4B71" w:rsidRDefault="003F4B71" w:rsidP="003F4B71">
      <w:r>
        <w:t>The graphs below show selected results for the three modelled scenarios, including yearly electricity generation and supply capacity, fuel use in the transport sector and total annual carbon dioxide emissions for 2020-2050.</w:t>
      </w:r>
    </w:p>
    <w:p w14:paraId="1D1D6AB8" w14:textId="77777777" w:rsidR="003F4B71" w:rsidRDefault="003F4B71" w:rsidP="003F4B71">
      <w:pPr>
        <w:pStyle w:val="Heading3"/>
      </w:pPr>
      <w:r>
        <w:t>A3.1 Electricity Generation Results</w:t>
      </w:r>
    </w:p>
    <w:p w14:paraId="0C93CA59" w14:textId="3C3CCAD9" w:rsidR="003F4B71" w:rsidRDefault="003F4B71" w:rsidP="003F4B71">
      <w:r>
        <w:rPr>
          <w:noProof/>
        </w:rPr>
        <w:drawing>
          <wp:inline distT="0" distB="0" distL="0" distR="0" wp14:anchorId="102DED76" wp14:editId="1B9EF57F">
            <wp:extent cx="5486400" cy="328612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 xml:space="preserve">Figure A2: Electricity Generation in Gabon in the Fossil Future scenario </w:t>
      </w:r>
    </w:p>
    <w:p w14:paraId="1CC65FF9" w14:textId="67AF15D2" w:rsidR="003F4B71" w:rsidRDefault="003F4B71" w:rsidP="003F4B71">
      <w:r>
        <w:rPr>
          <w:noProof/>
        </w:rPr>
        <w:lastRenderedPageBreak/>
        <w:drawing>
          <wp:inline distT="0" distB="0" distL="0" distR="0" wp14:anchorId="4CFB72F3" wp14:editId="53405FFC">
            <wp:extent cx="5486400" cy="328612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 xml:space="preserve">Figure A3: Electricity Generation in Gabon in the Least Cost scenario </w:t>
      </w:r>
    </w:p>
    <w:p w14:paraId="015C8A4F" w14:textId="1398B0F4" w:rsidR="003F4B71" w:rsidRDefault="003F4B71" w:rsidP="003F4B71">
      <w:r>
        <w:rPr>
          <w:noProof/>
        </w:rPr>
        <w:drawing>
          <wp:inline distT="0" distB="0" distL="0" distR="0" wp14:anchorId="6575BF20" wp14:editId="0FD5AE9F">
            <wp:extent cx="5486400" cy="328612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 xml:space="preserve">Figure A4: Electricity Generation in Gabon in the Net Zero by </w:t>
      </w:r>
      <w:proofErr w:type="gramStart"/>
      <w:r>
        <w:t>2050  scenario</w:t>
      </w:r>
      <w:proofErr w:type="gramEnd"/>
      <w:r>
        <w:t xml:space="preserve"> </w:t>
      </w:r>
    </w:p>
    <w:p w14:paraId="5632AAAD" w14:textId="77777777" w:rsidR="003F4B71" w:rsidRDefault="003F4B71" w:rsidP="003F4B71">
      <w:pPr>
        <w:pStyle w:val="Heading3"/>
      </w:pPr>
      <w:r>
        <w:lastRenderedPageBreak/>
        <w:t>A3.2 Capacity Expansion Results</w:t>
      </w:r>
    </w:p>
    <w:p w14:paraId="70CA8E9B" w14:textId="4DF9B744" w:rsidR="003F4B71" w:rsidRDefault="003F4B71" w:rsidP="003F4B71">
      <w:r>
        <w:rPr>
          <w:noProof/>
        </w:rPr>
        <w:drawing>
          <wp:inline distT="0" distB="0" distL="0" distR="0" wp14:anchorId="71320936" wp14:editId="4BBA87D4">
            <wp:extent cx="5486400" cy="328612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 xml:space="preserve">Figure A5: Installed capacity in Gabon in the Fossil Future scenario </w:t>
      </w:r>
    </w:p>
    <w:p w14:paraId="25CDBADC" w14:textId="39BFBC0A" w:rsidR="003F4B71" w:rsidRDefault="003F4B71" w:rsidP="003F4B71">
      <w:r>
        <w:rPr>
          <w:noProof/>
        </w:rPr>
        <w:drawing>
          <wp:inline distT="0" distB="0" distL="0" distR="0" wp14:anchorId="27984D9C" wp14:editId="1C887365">
            <wp:extent cx="5486400" cy="32861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 xml:space="preserve">Figure A6: Installed capacity in Gabon in the Least Cost scenario </w:t>
      </w:r>
    </w:p>
    <w:p w14:paraId="608648C9" w14:textId="77777777" w:rsidR="003F4B71" w:rsidRDefault="003F4B71" w:rsidP="003F4B71"/>
    <w:p w14:paraId="1AA33012" w14:textId="53F4D796" w:rsidR="003F4B71" w:rsidRDefault="003F4B71" w:rsidP="003F4B71">
      <w:r>
        <w:rPr>
          <w:noProof/>
        </w:rPr>
        <w:lastRenderedPageBreak/>
        <w:drawing>
          <wp:inline distT="0" distB="0" distL="0" distR="0" wp14:anchorId="18E63037" wp14:editId="335EB93B">
            <wp:extent cx="5486400" cy="32861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 xml:space="preserve">Figure A7: Installed capacity in Gabon in the Net Zero scenario </w:t>
      </w:r>
    </w:p>
    <w:p w14:paraId="0177EF58" w14:textId="77777777" w:rsidR="003F4B71" w:rsidRDefault="003F4B71" w:rsidP="003F4B71">
      <w:pPr>
        <w:pStyle w:val="Heading3"/>
      </w:pPr>
      <w:r>
        <w:t>A3.3 Transport Results</w:t>
      </w:r>
    </w:p>
    <w:p w14:paraId="7125BD69" w14:textId="35C4D678" w:rsidR="003F4B71" w:rsidRDefault="003F4B71" w:rsidP="003F4B71">
      <w:r>
        <w:rPr>
          <w:noProof/>
        </w:rPr>
        <w:drawing>
          <wp:inline distT="0" distB="0" distL="0" distR="0" wp14:anchorId="51D47FF4" wp14:editId="22230D60">
            <wp:extent cx="5486400" cy="32861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4FE0590F" w14:textId="77777777" w:rsidR="003F4B71" w:rsidRDefault="003F4B71" w:rsidP="003F4B71">
      <w:r>
        <w:t xml:space="preserve">Figure A8: Transport demand met by each technology type in Gabon in the Least Cost scenario </w:t>
      </w:r>
    </w:p>
    <w:p w14:paraId="6CC579D3" w14:textId="5778BB52" w:rsidR="003F4B71" w:rsidRDefault="003F4B71" w:rsidP="003F4B71">
      <w:r>
        <w:rPr>
          <w:noProof/>
        </w:rPr>
        <w:lastRenderedPageBreak/>
        <w:drawing>
          <wp:inline distT="0" distB="0" distL="0" distR="0" wp14:anchorId="603D828A" wp14:editId="0DD8F697">
            <wp:extent cx="5486400" cy="32861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6EDF8AA3" w14:textId="77777777" w:rsidR="003F4B71" w:rsidRDefault="003F4B71" w:rsidP="003F4B71">
      <w:r>
        <w:t xml:space="preserve">Figure A9: Transport demand met by each technology type in Gabon in the Net Zero scenario </w:t>
      </w:r>
    </w:p>
    <w:p w14:paraId="10D67A24" w14:textId="77777777" w:rsidR="003F4B71" w:rsidRDefault="003F4B71" w:rsidP="003F4B71">
      <w:pPr>
        <w:pStyle w:val="Heading3"/>
      </w:pPr>
      <w:r>
        <w:t>A3.4 Annual Carbon Dioxide Emissions Results</w:t>
      </w:r>
    </w:p>
    <w:p w14:paraId="0F18725A" w14:textId="1DE1DE8A" w:rsidR="003F4B71" w:rsidRDefault="003F4B71" w:rsidP="003F4B71">
      <w:r>
        <w:rPr>
          <w:noProof/>
        </w:rPr>
        <w:drawing>
          <wp:inline distT="0" distB="0" distL="0" distR="0" wp14:anchorId="32C5CC3D" wp14:editId="59514571">
            <wp:extent cx="5486400" cy="32861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37E78DCF" w14:textId="77777777" w:rsidR="003F4B71" w:rsidRDefault="003F4B71" w:rsidP="003F4B71">
      <w:r>
        <w:t>Figure A10: Annual Carbon Dioxide emissions in Gabon in the Fossil Future scenario</w:t>
      </w:r>
    </w:p>
    <w:p w14:paraId="493810FF" w14:textId="2698F4DB" w:rsidR="003F4B71" w:rsidRDefault="003F4B71" w:rsidP="003F4B71">
      <w:r>
        <w:rPr>
          <w:noProof/>
        </w:rPr>
        <w:lastRenderedPageBreak/>
        <w:drawing>
          <wp:inline distT="0" distB="0" distL="0" distR="0" wp14:anchorId="69390D69" wp14:editId="58AAAC18">
            <wp:extent cx="5486400" cy="32861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06F0D577" w14:textId="77777777" w:rsidR="003F4B71" w:rsidRDefault="003F4B71" w:rsidP="003F4B71">
      <w:r>
        <w:t xml:space="preserve">Figure A11: Annual Carbon Dioxide emissions in Gabon in the Least Cost scenario  </w:t>
      </w:r>
    </w:p>
    <w:p w14:paraId="6039ED00" w14:textId="2FCB91D5" w:rsidR="003F4B71" w:rsidRDefault="003F4B71" w:rsidP="003F4B71">
      <w:r>
        <w:rPr>
          <w:noProof/>
        </w:rPr>
        <w:drawing>
          <wp:inline distT="0" distB="0" distL="0" distR="0" wp14:anchorId="4CC45966" wp14:editId="561CF40E">
            <wp:extent cx="5486400" cy="32861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294610BD" w14:textId="77777777" w:rsidR="003F4B71" w:rsidRDefault="003F4B71" w:rsidP="003F4B71">
      <w:r>
        <w:t xml:space="preserve">Figure A12: Annual Carbon Dioxide emissions in Gabon in the Net Zero scenario  </w:t>
      </w:r>
    </w:p>
    <w:p w14:paraId="7FFCE02C" w14:textId="77777777" w:rsidR="003F4B71" w:rsidRDefault="003F4B71" w:rsidP="003F4B71">
      <w:pPr>
        <w:pStyle w:val="Heading2"/>
      </w:pPr>
      <w:r>
        <w:lastRenderedPageBreak/>
        <w:t xml:space="preserve">A4 Further Work </w:t>
      </w:r>
    </w:p>
    <w:p w14:paraId="2330FD0F" w14:textId="77777777" w:rsidR="003F4B71" w:rsidRDefault="003F4B71" w:rsidP="003F4B71">
      <w:r>
        <w:t xml:space="preserve">These example results represent zero-order model and were generated using the </w:t>
      </w:r>
      <w:proofErr w:type="spellStart"/>
      <w:r>
        <w:t>clicSAND</w:t>
      </w:r>
      <w:proofErr w:type="spellEnd"/>
      <w:r>
        <w:t xml:space="preserve"> Interface [30] and </w:t>
      </w:r>
      <w:proofErr w:type="spellStart"/>
      <w:r>
        <w:t>OSeMOSYS</w:t>
      </w:r>
      <w:proofErr w:type="spellEnd"/>
      <w:r>
        <w:t xml:space="preserve"> code [31]. Those interested in further developing this work are directed to the dataset available on </w:t>
      </w:r>
      <w:proofErr w:type="spellStart"/>
      <w:r>
        <w:t>Zenodo</w:t>
      </w:r>
      <w:proofErr w:type="spellEnd"/>
      <w:r>
        <w:t xml:space="preserve"> [32] and guidance on model development using </w:t>
      </w:r>
      <w:proofErr w:type="spellStart"/>
      <w:r>
        <w:t>clicSAND</w:t>
      </w:r>
      <w:proofErr w:type="spellEnd"/>
      <w:r>
        <w:t xml:space="preserve"> and </w:t>
      </w:r>
      <w:proofErr w:type="spellStart"/>
      <w:r>
        <w:t>OSeMOSYS</w:t>
      </w:r>
      <w:proofErr w:type="spellEnd"/>
      <w:r>
        <w:t xml:space="preserve"> [33].  </w:t>
      </w:r>
    </w:p>
    <w:p w14:paraId="4C84BC03" w14:textId="77777777" w:rsidR="00680122" w:rsidRDefault="00680122"/>
    <w:sectPr w:rsidR="006801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DBEEB800"/>
    <w:lvl w:ilvl="0">
      <w:start w:val="1"/>
      <w:numFmt w:val="bullet"/>
      <w:pStyle w:val="ListBullet"/>
      <w:lvlText w:val=""/>
      <w:lvlJc w:val="left"/>
      <w:pPr>
        <w:tabs>
          <w:tab w:val="num" w:pos="360"/>
        </w:tabs>
        <w:ind w:left="360" w:hanging="360"/>
      </w:pPr>
      <w:rPr>
        <w:rFonts w:ascii="Symbol" w:hAnsi="Symbol" w:hint="default"/>
      </w:rPr>
    </w:lvl>
  </w:abstractNum>
  <w:num w:numId="1">
    <w:abstractNumId w:val="0"/>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4B71"/>
    <w:rsid w:val="003F4B71"/>
    <w:rsid w:val="006801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6FFBB1"/>
  <w15:chartTrackingRefBased/>
  <w15:docId w15:val="{3EB7B90F-BF66-434A-BE80-479533728B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4B71"/>
    <w:pPr>
      <w:spacing w:after="200" w:line="276" w:lineRule="auto"/>
    </w:pPr>
    <w:rPr>
      <w:rFonts w:eastAsiaTheme="minorEastAsia"/>
    </w:rPr>
  </w:style>
  <w:style w:type="paragraph" w:styleId="Heading2">
    <w:name w:val="heading 2"/>
    <w:basedOn w:val="Normal"/>
    <w:next w:val="Normal"/>
    <w:link w:val="Heading2Char"/>
    <w:uiPriority w:val="9"/>
    <w:semiHidden/>
    <w:unhideWhenUsed/>
    <w:qFormat/>
    <w:rsid w:val="003F4B71"/>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3F4B71"/>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3F4B71"/>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semiHidden/>
    <w:rsid w:val="003F4B71"/>
    <w:rPr>
      <w:rFonts w:asciiTheme="majorHAnsi" w:eastAsiaTheme="majorEastAsia" w:hAnsiTheme="majorHAnsi" w:cstheme="majorBidi"/>
      <w:b/>
      <w:bCs/>
      <w:color w:val="4472C4" w:themeColor="accent1"/>
    </w:rPr>
  </w:style>
  <w:style w:type="paragraph" w:styleId="ListBullet">
    <w:name w:val="List Bullet"/>
    <w:basedOn w:val="Normal"/>
    <w:uiPriority w:val="99"/>
    <w:semiHidden/>
    <w:unhideWhenUsed/>
    <w:rsid w:val="003F4B71"/>
    <w:pPr>
      <w:numPr>
        <w:numId w:val="1"/>
      </w:numPr>
      <w:contextualSpacing/>
    </w:pPr>
  </w:style>
  <w:style w:type="table" w:styleId="TableGrid">
    <w:name w:val="Table Grid"/>
    <w:basedOn w:val="TableNormal"/>
    <w:uiPriority w:val="59"/>
    <w:rsid w:val="003F4B71"/>
    <w:pPr>
      <w:spacing w:after="0" w:line="240" w:lineRule="auto"/>
    </w:pPr>
    <w:rPr>
      <w:rFonts w:eastAsiaTheme="minorEastAsi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2353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1214</Words>
  <Characters>6924</Characters>
  <Application>Microsoft Office Word</Application>
  <DocSecurity>0</DocSecurity>
  <Lines>57</Lines>
  <Paragraphs>16</Paragraphs>
  <ScaleCrop>false</ScaleCrop>
  <Company/>
  <LinksUpToDate>false</LinksUpToDate>
  <CharactersWithSpaces>8122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2021-05-05T01:47:00Z</dcterms:created>
  <dcterms:modified xsi:type="dcterms:W3CDTF">2021-05-05T01:47:00Z</dcterms:modified>
</cp:coreProperties>
</file>