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DB8" w:rsidRPr="00D161E3" w:rsidRDefault="007B2DB8" w:rsidP="007B2DB8">
      <w:pPr>
        <w:spacing w:after="0" w:line="480" w:lineRule="auto"/>
        <w:jc w:val="both"/>
        <w:rPr>
          <w:b/>
          <w:bCs/>
        </w:rPr>
      </w:pPr>
      <w:r w:rsidRPr="00D161E3">
        <w:rPr>
          <w:b/>
          <w:bCs/>
        </w:rPr>
        <w:t>Supplementary Fig</w:t>
      </w:r>
      <w:r>
        <w:rPr>
          <w:b/>
          <w:bCs/>
        </w:rPr>
        <w:t>.</w:t>
      </w:r>
      <w:r w:rsidRPr="00D161E3">
        <w:rPr>
          <w:b/>
          <w:bCs/>
        </w:rPr>
        <w:t xml:space="preserve"> 1</w:t>
      </w:r>
    </w:p>
    <w:p w:rsidR="007B2DB8" w:rsidRPr="009D5523" w:rsidRDefault="007B2DB8" w:rsidP="007B2DB8">
      <w:pPr>
        <w:spacing w:after="0" w:line="480" w:lineRule="auto"/>
        <w:rPr>
          <w:i/>
          <w:iCs/>
        </w:rPr>
      </w:pPr>
      <w:r w:rsidRPr="009D5523">
        <w:rPr>
          <w:i/>
          <w:iCs/>
        </w:rPr>
        <w:t xml:space="preserve">Correlation between parasite density and HRP2 concentration, and positivity by HS-RDT and co-RDT. </w:t>
      </w:r>
    </w:p>
    <w:p w:rsidR="007B2DB8" w:rsidRDefault="007B2DB8" w:rsidP="007B2DB8">
      <w:pPr>
        <w:spacing w:after="0" w:line="480" w:lineRule="auto"/>
        <w:jc w:val="both"/>
      </w:pPr>
      <w:r>
        <w:rPr>
          <w:noProof/>
          <w:lang w:val="en-US"/>
        </w:rPr>
        <w:drawing>
          <wp:inline distT="0" distB="0" distL="0" distR="0" wp14:anchorId="6B784770" wp14:editId="00598296">
            <wp:extent cx="5731197" cy="2510287"/>
            <wp:effectExtent l="0" t="0" r="3175" b="4445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8" b="4564"/>
                    <a:stretch/>
                  </pic:blipFill>
                  <pic:spPr bwMode="auto">
                    <a:xfrm>
                      <a:off x="0" y="0"/>
                      <a:ext cx="5731510" cy="2510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2DB8" w:rsidRDefault="007B2DB8" w:rsidP="007B2DB8">
      <w:pPr>
        <w:spacing w:after="0" w:line="480" w:lineRule="auto"/>
        <w:rPr>
          <w:i/>
          <w:iCs/>
        </w:rPr>
      </w:pPr>
      <w:r w:rsidRPr="00B6533A">
        <w:rPr>
          <w:i/>
          <w:iCs/>
        </w:rPr>
        <w:t xml:space="preserve">Panels </w:t>
      </w:r>
      <w:r>
        <w:rPr>
          <w:i/>
          <w:iCs/>
        </w:rPr>
        <w:t>(</w:t>
      </w:r>
      <w:r w:rsidRPr="0064378E">
        <w:rPr>
          <w:b/>
          <w:bCs/>
          <w:i/>
          <w:iCs/>
        </w:rPr>
        <w:t>A</w:t>
      </w:r>
      <w:r w:rsidRPr="00B6533A">
        <w:rPr>
          <w:i/>
          <w:iCs/>
        </w:rPr>
        <w:t xml:space="preserve">) and </w:t>
      </w:r>
      <w:r>
        <w:rPr>
          <w:i/>
          <w:iCs/>
        </w:rPr>
        <w:t>(</w:t>
      </w:r>
      <w:r w:rsidRPr="0064378E">
        <w:rPr>
          <w:b/>
          <w:bCs/>
          <w:i/>
          <w:iCs/>
        </w:rPr>
        <w:t>B</w:t>
      </w:r>
      <w:r w:rsidRPr="00B6533A">
        <w:rPr>
          <w:i/>
          <w:iCs/>
        </w:rPr>
        <w:t xml:space="preserve">) </w:t>
      </w:r>
      <w:r>
        <w:rPr>
          <w:i/>
          <w:iCs/>
        </w:rPr>
        <w:t xml:space="preserve">show the relationship between parasite density and HRP2 concentration in a high-transmission setting (Uganda, </w:t>
      </w:r>
      <w:r w:rsidRPr="0064378E">
        <w:rPr>
          <w:b/>
          <w:bCs/>
          <w:i/>
          <w:iCs/>
        </w:rPr>
        <w:t>A</w:t>
      </w:r>
      <w:r>
        <w:rPr>
          <w:i/>
          <w:iCs/>
        </w:rPr>
        <w:t xml:space="preserve">) and a low-transmission setting (Myanmar, </w:t>
      </w:r>
      <w:r w:rsidRPr="0064378E">
        <w:rPr>
          <w:b/>
          <w:bCs/>
          <w:i/>
          <w:iCs/>
        </w:rPr>
        <w:t>B</w:t>
      </w:r>
      <w:r>
        <w:rPr>
          <w:i/>
          <w:iCs/>
        </w:rPr>
        <w:t>). Each point is coloured according to whether the sample was positive by HS-RDT only, co-RDT only, both RDTs, or neither RDT.</w:t>
      </w: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</w:p>
    <w:p w:rsidR="007B2DB8" w:rsidRDefault="007B2DB8" w:rsidP="007B2DB8">
      <w:pPr>
        <w:spacing w:after="0" w:line="480" w:lineRule="auto"/>
        <w:jc w:val="both"/>
        <w:rPr>
          <w:b/>
          <w:bCs/>
        </w:rPr>
      </w:pPr>
      <w:r>
        <w:rPr>
          <w:b/>
          <w:bCs/>
        </w:rPr>
        <w:t>Supplementary Material 1</w:t>
      </w:r>
    </w:p>
    <w:p w:rsidR="007B2DB8" w:rsidRPr="00D447F1" w:rsidRDefault="007B2DB8" w:rsidP="007B2DB8">
      <w:pPr>
        <w:spacing w:after="0" w:line="480" w:lineRule="auto"/>
        <w:rPr>
          <w:i/>
          <w:iCs/>
        </w:rPr>
      </w:pPr>
      <w:r w:rsidRPr="00D447F1">
        <w:rPr>
          <w:i/>
          <w:iCs/>
        </w:rPr>
        <w:t>Estimating population</w:t>
      </w:r>
      <w:r>
        <w:rPr>
          <w:i/>
          <w:iCs/>
        </w:rPr>
        <w:t>-</w:t>
      </w:r>
      <w:r w:rsidRPr="00D447F1">
        <w:rPr>
          <w:i/>
          <w:iCs/>
        </w:rPr>
        <w:t>level prevalen</w:t>
      </w:r>
      <w:r>
        <w:rPr>
          <w:i/>
          <w:iCs/>
        </w:rPr>
        <w:t xml:space="preserve">ce by HS-RDT and PCR </w:t>
      </w:r>
      <w:r w:rsidRPr="00D447F1">
        <w:rPr>
          <w:i/>
          <w:iCs/>
        </w:rPr>
        <w:t xml:space="preserve">in Owalla et al. </w:t>
      </w:r>
      <w:r w:rsidRPr="00D447F1">
        <w:rPr>
          <w:i/>
          <w:iCs/>
        </w:rPr>
        <w:fldChar w:fldCharType="begin"/>
      </w:r>
      <w:r>
        <w:rPr>
          <w:i/>
          <w:iCs/>
        </w:rPr>
        <w:instrText xml:space="preserve"> ADDIN ZOTERO_ITEM CSL_CITATION {"citationID":"ryHsdAgT","properties":{"formattedCitation":"(37)","plainCitation":"(37)","dontUpdate":true,"noteIndex":0},"citationItems":[{"id":"RNScstBN/8LODHfC5","uris":["http://zotero.org/users/6369130/items/EVYDF77R"],"uri":["http://zotero.org/users/6369130/items/EVYDF77R"],"itemData":{"id":"BUGlU37J/mgtb9p5v","type":"article-journal","abstract":"The ultrasensitive Alere Plasmodium falciparum Malaria Ag histidine-rich protein 2 rapid diagnostic test (Alere uRDT, Suwon City, South Korea) is a new diagnostic tool which is more expensive than other malaria rapid diagnostic tests (RDTs) routinely used in Ugandan clinics. The manufacturer recommends testing samples within 2 days and scoring results after 20 minutes, which may be impractical in high-volume resource-poor clinics. We compared testing by the Alere Ag rapid diagnostic test (uRDT), CareStart RDT, microscopy, and an ultrasensitive I8S rRNA quantitative reverse transcription polymerase chain reaction (qRT-PCR) using survey and clinical samples. For the Alere uRDT, we used survey blood samples stored at 4°C for 44 days and for some clinical samples deliberately scored results beyond 20 minutes. The Alere uRDT and qRT-PCR identified asymptomatic parasitemia cases in 56% and 72%, respectively, of survey samples originally scored as negative by the CareStart RDT. Using qRT-PCR as a gold standard, the Alere uRDT was superior to the CareStart RDT in estimating asymptomatic parasite prevalence in a cross-sectional survey (P = 0.007) and in detection of clinically significant malaria; both RDTs were comparable in detecting asymptomatic parasitemia in the clinic (P = 0.599). Scoring Alere uRDT results at 20 minutes produced valid results confirmed by the CareStart RDT, but there was a consistent background; scoring the Alere uRDT beyond 20 minutes produced false-positive results. The Alere uRDT outperformed the CareStart RDT (ACCESSBIO, Somerset, NJ) in a field survey in estimating malaria prevalence and in the clinic for symptomatic malarial illness. It produced reliable results using samples stored at 4°C for 44 days, but test results read beyond 20 minutes were invalid.","container-title":"The American Journal of Tropical Medicine and Hygiene","DOI":"10.4269/ajtmh.19-0653","ISSN":"1476-1645","issue":"2","journalAbbreviation":"Am. J. Trop. Med. Hyg.","language":"eng","note":"PMID: 32602431\nPMCID: PMC7410421","page":"778-784","source":"PubMed","title":"Using the Ultrasensitive Alere Plasmodium falciparum Malaria Ag HRP-2™ Rapid Diagnostic Test in the Field and Clinic in Northeastern Uganda","volume":"103","author":[{"family":"Owalla","given":"Tonny Jimmy"},{"family":"Okurut","given":"Emmanuel"},{"family":"Apungia","given":"Gonzaga"},{"family":"Ojakol","given":"Basil"},{"family":"Lema","given":"Jimmy"},{"family":"C Murphy","given":"Sean"},{"family":"G Egwang","given":"Thomas"}],"issued":{"date-parts":[["2020",8]]}}}],"schema":"https://github.com/citation-style-language/schema/raw/master/csl-citation.json"} </w:instrText>
      </w:r>
      <w:r w:rsidRPr="00D447F1">
        <w:rPr>
          <w:i/>
          <w:iCs/>
        </w:rPr>
        <w:fldChar w:fldCharType="separate"/>
      </w:r>
      <w:r>
        <w:rPr>
          <w:rFonts w:ascii="Calibri" w:hAnsi="Calibri" w:cs="Calibri"/>
          <w:i/>
          <w:iCs/>
        </w:rPr>
        <w:t>[</w:t>
      </w:r>
      <w:r w:rsidRPr="00D447F1">
        <w:rPr>
          <w:rFonts w:ascii="Calibri" w:hAnsi="Calibri" w:cs="Calibri"/>
          <w:i/>
          <w:iCs/>
        </w:rPr>
        <w:t>37</w:t>
      </w:r>
      <w:r>
        <w:rPr>
          <w:rFonts w:ascii="Calibri" w:hAnsi="Calibri" w:cs="Calibri"/>
          <w:i/>
          <w:iCs/>
        </w:rPr>
        <w:t>]</w:t>
      </w:r>
      <w:r w:rsidRPr="00D447F1">
        <w:rPr>
          <w:i/>
          <w:iCs/>
        </w:rPr>
        <w:fldChar w:fldCharType="end"/>
      </w:r>
    </w:p>
    <w:p w:rsidR="007B2DB8" w:rsidRDefault="007B2DB8" w:rsidP="007B2DB8">
      <w:pPr>
        <w:spacing w:after="0" w:line="480" w:lineRule="auto"/>
      </w:pPr>
      <w:r>
        <w:t xml:space="preserve">In this study, the HS-RDT and PCR were only conducted on a subselection of 25 positive and 25 negative samples on the co-RDT (CareStart), therefore we needed to estimate the population-level prevalence by HS-RDT and PCR based on this biased sample. </w:t>
      </w:r>
    </w:p>
    <w:tbl>
      <w:tblPr>
        <w:tblStyle w:val="ListTable2-Accent3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3209"/>
      </w:tblGrid>
      <w:tr w:rsidR="007B2DB8" w:rsidTr="00E65A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7B2DB8" w:rsidRDefault="007B2DB8" w:rsidP="00E65A8B">
            <w:pPr>
              <w:spacing w:line="480" w:lineRule="auto"/>
              <w:jc w:val="both"/>
            </w:pPr>
          </w:p>
        </w:tc>
        <w:tc>
          <w:tcPr>
            <w:tcW w:w="3118" w:type="dxa"/>
          </w:tcPr>
          <w:p w:rsidR="007B2DB8" w:rsidRDefault="007B2DB8" w:rsidP="00E65A8B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Co-RDT-positive samples</w:t>
            </w:r>
          </w:p>
        </w:tc>
        <w:tc>
          <w:tcPr>
            <w:tcW w:w="3209" w:type="dxa"/>
          </w:tcPr>
          <w:p w:rsidR="007B2DB8" w:rsidRDefault="007B2DB8" w:rsidP="00E65A8B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Co-RDT-negative samples</w:t>
            </w:r>
          </w:p>
        </w:tc>
      </w:tr>
      <w:tr w:rsidR="007B2DB8" w:rsidTr="00E65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7B2DB8" w:rsidRDefault="007B2DB8" w:rsidP="00E65A8B">
            <w:pPr>
              <w:spacing w:line="480" w:lineRule="auto"/>
              <w:jc w:val="both"/>
            </w:pPr>
            <w:r>
              <w:t xml:space="preserve">PCR positive </w:t>
            </w:r>
          </w:p>
        </w:tc>
        <w:tc>
          <w:tcPr>
            <w:tcW w:w="3118" w:type="dxa"/>
          </w:tcPr>
          <w:p w:rsidR="007B2DB8" w:rsidRDefault="007B2DB8" w:rsidP="00E65A8B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23/25</w:t>
            </w:r>
          </w:p>
        </w:tc>
        <w:tc>
          <w:tcPr>
            <w:tcW w:w="3209" w:type="dxa"/>
          </w:tcPr>
          <w:p w:rsidR="007B2DB8" w:rsidRDefault="007B2DB8" w:rsidP="00E65A8B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18/25</w:t>
            </w:r>
          </w:p>
        </w:tc>
      </w:tr>
      <w:tr w:rsidR="007B2DB8" w:rsidTr="00E65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7B2DB8" w:rsidRDefault="007B2DB8" w:rsidP="00E65A8B">
            <w:pPr>
              <w:spacing w:line="480" w:lineRule="auto"/>
              <w:jc w:val="both"/>
            </w:pPr>
            <w:r>
              <w:t>HS-RDT positive</w:t>
            </w:r>
          </w:p>
        </w:tc>
        <w:tc>
          <w:tcPr>
            <w:tcW w:w="3118" w:type="dxa"/>
          </w:tcPr>
          <w:p w:rsidR="007B2DB8" w:rsidRDefault="007B2DB8" w:rsidP="00E65A8B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24/25</w:t>
            </w:r>
          </w:p>
        </w:tc>
        <w:tc>
          <w:tcPr>
            <w:tcW w:w="3209" w:type="dxa"/>
          </w:tcPr>
          <w:p w:rsidR="007B2DB8" w:rsidRDefault="007B2DB8" w:rsidP="00E65A8B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14/24*</w:t>
            </w:r>
          </w:p>
        </w:tc>
      </w:tr>
    </w:tbl>
    <w:p w:rsidR="007B2DB8" w:rsidRDefault="007B2DB8" w:rsidP="007B2DB8">
      <w:pPr>
        <w:spacing w:after="0" w:line="480" w:lineRule="auto"/>
      </w:pPr>
      <w:r>
        <w:t xml:space="preserve">*HS-RDT not run on one co-RDT-negative sample. </w:t>
      </w:r>
    </w:p>
    <w:p w:rsidR="007B2DB8" w:rsidRDefault="007B2DB8" w:rsidP="007B2DB8">
      <w:pPr>
        <w:spacing w:after="0" w:line="480" w:lineRule="auto"/>
      </w:pPr>
      <w:r>
        <w:t>Additionally, 36.9% of the total population sampled (n = 1705) were co-RDT positive.</w:t>
      </w:r>
    </w:p>
    <w:p w:rsidR="007B2DB8" w:rsidRDefault="007B2DB8" w:rsidP="007B2DB8">
      <w:pPr>
        <w:spacing w:after="0" w:line="480" w:lineRule="auto"/>
      </w:pPr>
      <w:r>
        <w:t>Therefore, we estimate PCR prevalence in the population as:</w:t>
      </w:r>
    </w:p>
    <w:p w:rsidR="007B2DB8" w:rsidRDefault="007B2DB8" w:rsidP="007B2DB8">
      <w:pPr>
        <w:spacing w:after="0" w:line="480" w:lineRule="auto"/>
      </w:pPr>
      <w:r>
        <w:t>PCR prevalence = (proportion of the population co-RDT positive x PCR positivity in co-RDT-positive samples) + (proportion of the population co-RDT negative x PCR positivity in co-RDT-negative samples)</w:t>
      </w:r>
    </w:p>
    <w:p w:rsidR="007B2DB8" w:rsidRDefault="007B2DB8" w:rsidP="007B2DB8">
      <w:pPr>
        <w:spacing w:after="0" w:line="480" w:lineRule="auto"/>
      </w:pPr>
      <w:r>
        <w:tab/>
      </w:r>
      <w:r>
        <w:tab/>
        <w:t>= 0.369 x (23/25) + (1 – 0.369) x (18/25) = 0.794</w:t>
      </w:r>
    </w:p>
    <w:p w:rsidR="007B2DB8" w:rsidRDefault="007B2DB8" w:rsidP="007B2DB8">
      <w:pPr>
        <w:spacing w:after="0" w:line="480" w:lineRule="auto"/>
      </w:pPr>
      <w:r>
        <w:t>Similarly, for the HS-RDT, prevalence is calculated as:</w:t>
      </w:r>
    </w:p>
    <w:p w:rsidR="007B2DB8" w:rsidRDefault="007B2DB8" w:rsidP="007B2DB8">
      <w:pPr>
        <w:spacing w:after="0" w:line="480" w:lineRule="auto"/>
      </w:pPr>
      <w:r>
        <w:t>HS-RDT prevalence = (proportion of the population co-RDT positive x HS-RDT positivity in co-RDT-positive samples) + (proportion of the population co-RDT negative x HS-RDT positivity in co-RDT-negative samples)</w:t>
      </w:r>
    </w:p>
    <w:p w:rsidR="007B2DB8" w:rsidRDefault="007B2DB8" w:rsidP="007B2DB8">
      <w:pPr>
        <w:spacing w:after="0" w:line="480" w:lineRule="auto"/>
        <w:jc w:val="both"/>
      </w:pPr>
      <w:r>
        <w:tab/>
      </w:r>
      <w:r>
        <w:tab/>
        <w:t>= 0.369 x (24/25) + (1 – 0.369) x (14/24) = 0.722</w:t>
      </w:r>
    </w:p>
    <w:p w:rsidR="007B2DB8" w:rsidRDefault="007B2DB8" w:rsidP="007B2DB8">
      <w:pPr>
        <w:spacing w:after="0" w:line="480" w:lineRule="auto"/>
      </w:pPr>
      <w:r>
        <w:t xml:space="preserve">The prevalence values were used in the analyses, assuming denominators of 50 to provide confidence intervals. </w:t>
      </w:r>
    </w:p>
    <w:p w:rsidR="00F4526F" w:rsidRDefault="00F4526F">
      <w:bookmarkStart w:id="0" w:name="_GoBack"/>
      <w:bookmarkEnd w:id="0"/>
    </w:p>
    <w:sectPr w:rsidR="00F4526F" w:rsidSect="00695365">
      <w:footerReference w:type="default" r:id="rId5"/>
      <w:pgSz w:w="11906" w:h="16838"/>
      <w:pgMar w:top="1276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19464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E48E8" w:rsidRDefault="007B2D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E48E8" w:rsidRDefault="007B2DB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DB8"/>
    <w:rsid w:val="003A0A23"/>
    <w:rsid w:val="007B2DB8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59BB4C-80E6-4B0E-8DEF-2646CF3D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DB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-Accent3">
    <w:name w:val="List Table 2 Accent 3"/>
    <w:basedOn w:val="TableNormal"/>
    <w:uiPriority w:val="47"/>
    <w:rsid w:val="007B2DB8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7B2D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DB8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7B2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719</Words>
  <Characters>4102</Characters>
  <Application>Microsoft Office Word</Application>
  <DocSecurity>0</DocSecurity>
  <Lines>34</Lines>
  <Paragraphs>9</Paragraphs>
  <ScaleCrop>false</ScaleCrop>
  <Company>Springer Nature</Company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2021-05-06T11:04:00Z</dcterms:created>
  <dcterms:modified xsi:type="dcterms:W3CDTF">2021-05-06T11:04:00Z</dcterms:modified>
</cp:coreProperties>
</file>