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C1203A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646010">
        <w:rPr>
          <w:rFonts w:ascii="Arial" w:eastAsia="MS Mincho" w:hAnsi="Arial" w:cs="Arial"/>
          <w:b/>
          <w:bCs/>
          <w:sz w:val="24"/>
          <w:szCs w:val="24"/>
        </w:rPr>
        <w:t>Supplemental Table 1</w:t>
      </w:r>
      <w:r w:rsidRPr="00646010">
        <w:rPr>
          <w:rFonts w:ascii="Arial" w:hAnsi="Arial" w:cs="Arial"/>
          <w:b/>
          <w:bCs/>
          <w:sz w:val="24"/>
          <w:szCs w:val="24"/>
        </w:rPr>
        <w:t>.</w:t>
      </w:r>
      <w:r w:rsidRPr="00DA390C">
        <w:rPr>
          <w:rFonts w:ascii="Arial" w:hAnsi="Arial" w:cs="Arial"/>
          <w:b/>
          <w:bCs/>
          <w:sz w:val="24"/>
          <w:szCs w:val="24"/>
        </w:rPr>
        <w:t xml:space="preserve"> </w:t>
      </w:r>
      <w:r w:rsidRPr="00DA390C">
        <w:rPr>
          <w:rFonts w:ascii="Arial" w:hAnsi="Arial" w:cs="Arial"/>
          <w:sz w:val="24"/>
          <w:szCs w:val="24"/>
        </w:rPr>
        <w:t>Logistic</w:t>
      </w:r>
      <w:r w:rsidRPr="00DA390C">
        <w:rPr>
          <w:rFonts w:ascii="Arial" w:hAnsi="Arial" w:cs="Arial"/>
          <w:b/>
          <w:bCs/>
          <w:sz w:val="24"/>
          <w:szCs w:val="24"/>
        </w:rPr>
        <w:t xml:space="preserve"> </w:t>
      </w:r>
      <w:r w:rsidRPr="00DA390C">
        <w:rPr>
          <w:rFonts w:ascii="Arial" w:hAnsi="Arial" w:cs="Arial"/>
          <w:sz w:val="24"/>
          <w:szCs w:val="24"/>
        </w:rPr>
        <w:t>regression analysis of factors related to RBO</w:t>
      </w:r>
    </w:p>
    <w:tbl>
      <w:tblPr>
        <w:tblW w:w="121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90"/>
        <w:gridCol w:w="711"/>
        <w:gridCol w:w="1487"/>
        <w:gridCol w:w="1202"/>
        <w:gridCol w:w="737"/>
        <w:gridCol w:w="1539"/>
        <w:gridCol w:w="1244"/>
      </w:tblGrid>
      <w:tr w:rsidR="00F73415" w:rsidRPr="00DA390C" w14:paraId="4AA77AA6" w14:textId="77777777" w:rsidTr="005A3723">
        <w:trPr>
          <w:trHeight w:val="360"/>
        </w:trPr>
        <w:tc>
          <w:tcPr>
            <w:tcW w:w="5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E194E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34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D7CB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Univariate analysis (RBO)</w:t>
            </w:r>
          </w:p>
        </w:tc>
        <w:tc>
          <w:tcPr>
            <w:tcW w:w="3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460E8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Multivariate analysis (RBO)</w:t>
            </w:r>
          </w:p>
        </w:tc>
      </w:tr>
      <w:tr w:rsidR="00F73415" w:rsidRPr="00DA390C" w14:paraId="021ED511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9220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B135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OR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22F0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95% CI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1DB8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22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22"/>
              </w:rPr>
              <w:t>-value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3FC3A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OR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1AFF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95% CI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0774F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22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22"/>
              </w:rPr>
              <w:t>-value</w:t>
            </w:r>
          </w:p>
        </w:tc>
      </w:tr>
      <w:tr w:rsidR="00F73415" w:rsidRPr="00DA390C" w14:paraId="71BAB95A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9C8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ENBD group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DF7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0.53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520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0.24-1.18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5140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5F2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0.41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9220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0.08-2.20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667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0.30</w:t>
            </w:r>
          </w:p>
        </w:tc>
      </w:tr>
      <w:tr w:rsidR="00F73415" w:rsidRPr="00DA390C" w14:paraId="7D8AFE2F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599C6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Age (&gt;70 years)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8FFF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0.39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B78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0.09-1.73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0EDB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0.22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80D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3E6F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D8E0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4200A64F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582B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Sex, female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56A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0.59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5B66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0.14-2.55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868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0.48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F0D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3A80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F94C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133D9B81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0C6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Performance states 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8DE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3.20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CF0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0.57-18.0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F9C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0.19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46A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3.04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4C7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0.47-19.8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E04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0.24</w:t>
            </w:r>
          </w:p>
        </w:tc>
      </w:tr>
      <w:tr w:rsidR="00F73415" w:rsidRPr="00DA390C" w14:paraId="427129BE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59D0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Bismuth classification type, III or IV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520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1.39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019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0.32-6.08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3F2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0.66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420A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283D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5A53E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6D8EF733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3F5C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R0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5E0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1.97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EF7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0.43-8.20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4F3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F60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D1B52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FC26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1AAD5640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E3E9E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Malignant hilar biliary obstruction length (&gt;15mm)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EAC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0.46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6A5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0.10-2.01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EB51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0.30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5089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8AB5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1348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56A5651F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855C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PTPE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BF1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0.16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9BD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0.12-1.46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1E1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0.11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E8F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0.17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5E6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0.02-1.70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BB7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0.13</w:t>
            </w:r>
          </w:p>
        </w:tc>
      </w:tr>
      <w:tr w:rsidR="00F73415" w:rsidRPr="00DA390C" w14:paraId="780A2764" w14:textId="77777777" w:rsidTr="005A3723">
        <w:trPr>
          <w:trHeight w:val="360"/>
        </w:trPr>
        <w:tc>
          <w:tcPr>
            <w:tcW w:w="5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54C80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Pathological differentiation (well)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961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2.51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47D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0.53-11.8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38F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0.24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E2C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DA29E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5553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270436EB" w14:textId="77777777" w:rsidTr="005A3723">
        <w:trPr>
          <w:trHeight w:val="418"/>
        </w:trPr>
        <w:tc>
          <w:tcPr>
            <w:tcW w:w="5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962A2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Cholangitis before the endoscopic procedure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BF9B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3.12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7389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0.38-25.9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120C4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0.29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E1ECB" w14:textId="77777777" w:rsidR="00F73415" w:rsidRPr="00DA390C" w:rsidRDefault="00F73415" w:rsidP="005A3723">
            <w:pPr>
              <w:widowControl/>
              <w:jc w:val="left"/>
              <w:rPr>
                <w:rFonts w:ascii="Yu Gothic" w:eastAsia="Yu Gothic" w:hAnsi="Yu Gothic" w:cs="MS PGothic"/>
                <w:kern w:val="0"/>
                <w:sz w:val="22"/>
              </w:rPr>
            </w:pPr>
            <w:r w:rsidRPr="00DA390C">
              <w:rPr>
                <w:rFonts w:ascii="Yu Gothic" w:eastAsia="Yu Gothic" w:hAnsi="Yu Gothic" w:cs="MS PGothic" w:hint="eastAsia"/>
                <w:kern w:val="0"/>
                <w:sz w:val="22"/>
              </w:rPr>
              <w:t xml:space="preserve">　</w:t>
            </w: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A0162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12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ED02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 xml:space="preserve">　</w:t>
            </w:r>
          </w:p>
        </w:tc>
      </w:tr>
    </w:tbl>
    <w:p w14:paraId="67BBAB89" w14:textId="77777777" w:rsidR="00F73415" w:rsidRPr="00DA390C" w:rsidRDefault="00F73415" w:rsidP="00F73415">
      <w:pPr>
        <w:spacing w:line="276" w:lineRule="auto"/>
        <w:rPr>
          <w:rFonts w:ascii="Arial" w:hAnsi="Arial" w:cs="Arial"/>
          <w:bCs/>
          <w:sz w:val="24"/>
          <w:szCs w:val="24"/>
        </w:rPr>
      </w:pPr>
    </w:p>
    <w:p w14:paraId="25B0A2A1" w14:textId="77777777" w:rsidR="00F73415" w:rsidRPr="00DA390C" w:rsidRDefault="00F73415" w:rsidP="00F73415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>RBO: recurrent biliary obstruction</w:t>
      </w:r>
    </w:p>
    <w:p w14:paraId="045BB7A2" w14:textId="77777777" w:rsidR="00F73415" w:rsidRPr="00DA390C" w:rsidRDefault="00F73415" w:rsidP="00F73415">
      <w:pPr>
        <w:spacing w:line="276" w:lineRule="auto"/>
        <w:rPr>
          <w:rFonts w:ascii="Arial" w:hAnsi="Arial" w:cs="Arial"/>
          <w:iCs/>
          <w:sz w:val="24"/>
          <w:szCs w:val="24"/>
        </w:rPr>
      </w:pPr>
      <w:r w:rsidRPr="00DA390C">
        <w:rPr>
          <w:rFonts w:ascii="Arial" w:hAnsi="Arial" w:cs="Arial"/>
          <w:iCs/>
          <w:sz w:val="24"/>
          <w:szCs w:val="24"/>
        </w:rPr>
        <w:t>OR: odds ratios</w:t>
      </w:r>
    </w:p>
    <w:p w14:paraId="4DA07DB8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sz w:val="24"/>
          <w:szCs w:val="24"/>
        </w:rPr>
        <w:t>CI: confidence interval</w:t>
      </w:r>
    </w:p>
    <w:p w14:paraId="2103DAB5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sz w:val="24"/>
          <w:szCs w:val="24"/>
        </w:rPr>
        <w:t xml:space="preserve">ENBD: </w:t>
      </w:r>
      <w:r w:rsidRPr="00DA390C">
        <w:rPr>
          <w:rFonts w:ascii="Arial" w:hAnsi="Arial" w:cs="Arial"/>
          <w:bCs/>
          <w:sz w:val="24"/>
          <w:szCs w:val="24"/>
        </w:rPr>
        <w:t>endoscopic nasobiliary drainage</w:t>
      </w:r>
    </w:p>
    <w:p w14:paraId="2BEA0395" w14:textId="77777777" w:rsidR="00F73415" w:rsidRPr="00DA390C" w:rsidRDefault="00F73415" w:rsidP="00F73415">
      <w:pPr>
        <w:spacing w:line="276" w:lineRule="auto"/>
        <w:rPr>
          <w:rFonts w:ascii="Arial" w:hAnsi="Arial" w:cs="Arial"/>
          <w:iCs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 xml:space="preserve">PTPE: </w:t>
      </w:r>
      <w:r w:rsidRPr="00DA390C">
        <w:rPr>
          <w:rFonts w:ascii="Arial" w:hAnsi="Arial" w:cs="Arial"/>
          <w:iCs/>
          <w:sz w:val="24"/>
          <w:szCs w:val="24"/>
        </w:rPr>
        <w:t>percutaneous transhepatic portal embolization</w:t>
      </w:r>
      <w:r w:rsidRPr="00DA390C">
        <w:rPr>
          <w:rFonts w:ascii="Arial" w:hAnsi="Arial" w:cs="Arial"/>
          <w:iCs/>
          <w:sz w:val="24"/>
          <w:szCs w:val="24"/>
        </w:rPr>
        <w:br w:type="page"/>
      </w:r>
    </w:p>
    <w:p w14:paraId="4B983CF3" w14:textId="77777777" w:rsidR="00F73415" w:rsidRPr="00DA390C" w:rsidRDefault="00F73415" w:rsidP="00F73415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646010">
        <w:rPr>
          <w:rFonts w:ascii="Arial" w:eastAsia="MS Mincho" w:hAnsi="Arial" w:cs="Arial"/>
          <w:b/>
          <w:bCs/>
          <w:sz w:val="24"/>
          <w:szCs w:val="24"/>
        </w:rPr>
        <w:lastRenderedPageBreak/>
        <w:t>Supplemental Table</w:t>
      </w:r>
      <w:r w:rsidRPr="00DA390C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2</w:t>
      </w:r>
      <w:r w:rsidRPr="00DA390C">
        <w:rPr>
          <w:rFonts w:ascii="Arial" w:hAnsi="Arial" w:cs="Arial"/>
          <w:b/>
          <w:sz w:val="24"/>
          <w:szCs w:val="24"/>
        </w:rPr>
        <w:t xml:space="preserve">. </w:t>
      </w:r>
      <w:r w:rsidRPr="00DA390C">
        <w:rPr>
          <w:rFonts w:ascii="Arial" w:hAnsi="Arial" w:cs="Arial"/>
          <w:bCs/>
          <w:sz w:val="24"/>
          <w:szCs w:val="24"/>
        </w:rPr>
        <w:t>Cox proportional hazards analysis of factors related to TRBO and overall survival</w:t>
      </w:r>
    </w:p>
    <w:tbl>
      <w:tblPr>
        <w:tblW w:w="15951" w:type="dxa"/>
        <w:tblInd w:w="-1276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311"/>
        <w:gridCol w:w="728"/>
        <w:gridCol w:w="1138"/>
        <w:gridCol w:w="988"/>
        <w:gridCol w:w="728"/>
        <w:gridCol w:w="1138"/>
        <w:gridCol w:w="988"/>
        <w:gridCol w:w="218"/>
        <w:gridCol w:w="729"/>
        <w:gridCol w:w="1139"/>
        <w:gridCol w:w="989"/>
        <w:gridCol w:w="729"/>
        <w:gridCol w:w="1139"/>
        <w:gridCol w:w="989"/>
      </w:tblGrid>
      <w:tr w:rsidR="00F73415" w:rsidRPr="00DA390C" w14:paraId="5F2916FA" w14:textId="77777777" w:rsidTr="005A3723">
        <w:trPr>
          <w:trHeight w:val="356"/>
        </w:trPr>
        <w:tc>
          <w:tcPr>
            <w:tcW w:w="4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1D9B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E7894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Univariate analysis (TRBO)</w:t>
            </w:r>
          </w:p>
        </w:tc>
        <w:tc>
          <w:tcPr>
            <w:tcW w:w="285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ACEB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Multivariate analysis (TRBO)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A60A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1CBF79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Univariate analysis (OS)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E6F3F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Multivariate analysis (OS)</w:t>
            </w:r>
          </w:p>
        </w:tc>
      </w:tr>
      <w:tr w:rsidR="00F73415" w:rsidRPr="00DA390C" w14:paraId="74A15941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35806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4CAE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HR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8C8E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95% CI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1FF66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18"/>
                <w:szCs w:val="18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-value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C6E8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HR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9628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95% CI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7A7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18"/>
                <w:szCs w:val="18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-value</w:t>
            </w:r>
          </w:p>
        </w:tc>
        <w:tc>
          <w:tcPr>
            <w:tcW w:w="21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E66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78F4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HR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CF6CE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95% CI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2C8C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18"/>
                <w:szCs w:val="18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-value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CED0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HR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E1FF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95% CI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D8C0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18"/>
                <w:szCs w:val="18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-value</w:t>
            </w:r>
          </w:p>
        </w:tc>
      </w:tr>
      <w:tr w:rsidR="00F73415" w:rsidRPr="00DA390C" w14:paraId="4C18C396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10B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ENBD group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314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0.40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EAF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0.05-3.20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65C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EE1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CB2B0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C49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50C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3C9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1.30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D23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0.53-3.16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3B8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0.57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A90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06A2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1D17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29C1BAAF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2F3A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Age (&gt;70 years)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A6D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D61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0.10-1.56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868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0.18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751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B63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0.06-1.16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0A5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0.08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9C4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1CA8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0.93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58A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0.37-2.32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681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0.87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C06E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1C69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BE234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32A44057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A498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Sex, female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069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224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0.20-2.42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0D47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0.57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2BF2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102B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24E8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7F3E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458B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0.77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6E8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0.31-1.91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6146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0.57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615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85E5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97FB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75AA5333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205F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Performance states 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C36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3.35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95D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0.71-15.8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248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9EA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3.91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C66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0.75-20.4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581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0.11</w:t>
            </w: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71C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DB4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E40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0.31-1.98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A0B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0.60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45C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A197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6E8B5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2E9E35C3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B780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Bismuth classification type, III or IV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A799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1.26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C31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0.35-4.47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216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09F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2BE8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3686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AB52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06D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0.68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135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0.28-1.70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B3E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0.42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362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6D90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9E189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51E797C4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5063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R0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919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1.21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E834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0.34-4.33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051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0.77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9D8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B534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8D97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C3E2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696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1.70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5660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0.69-4.14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79F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0.25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389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E67A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A631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72993568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61EAF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Malignant hilar biliary obstruction length (&gt;15mm)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E94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0.48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24F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0.13-1.70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B49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0.25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8F1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B3E7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8340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2263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1EC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2.36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6D16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0.91-6.12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B06D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0.08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37F4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1.88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117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0.68-5.19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35C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0.22</w:t>
            </w:r>
          </w:p>
        </w:tc>
      </w:tr>
      <w:tr w:rsidR="00F73415" w:rsidRPr="00DA390C" w14:paraId="7D382CDD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2C021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PTPE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19AD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0.15</w:t>
            </w:r>
          </w:p>
        </w:tc>
        <w:tc>
          <w:tcPr>
            <w:tcW w:w="11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CFBE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0.02-1.21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745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0.075</w:t>
            </w:r>
          </w:p>
        </w:tc>
        <w:tc>
          <w:tcPr>
            <w:tcW w:w="7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A92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0.23</w:t>
            </w:r>
          </w:p>
        </w:tc>
        <w:tc>
          <w:tcPr>
            <w:tcW w:w="11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54C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0.03-2.14</w:t>
            </w:r>
          </w:p>
        </w:tc>
        <w:tc>
          <w:tcPr>
            <w:tcW w:w="9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34E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0.20</w:t>
            </w:r>
          </w:p>
        </w:tc>
        <w:tc>
          <w:tcPr>
            <w:tcW w:w="2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51B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EA9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3.02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C93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1.09-8.41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201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0.03</w:t>
            </w:r>
          </w:p>
        </w:tc>
        <w:tc>
          <w:tcPr>
            <w:tcW w:w="7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367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2.24</w:t>
            </w:r>
          </w:p>
        </w:tc>
        <w:tc>
          <w:tcPr>
            <w:tcW w:w="113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657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0.82-6.87</w:t>
            </w:r>
          </w:p>
        </w:tc>
        <w:tc>
          <w:tcPr>
            <w:tcW w:w="9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D94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0.11</w:t>
            </w:r>
          </w:p>
        </w:tc>
      </w:tr>
      <w:tr w:rsidR="00F73415" w:rsidRPr="00DA390C" w14:paraId="02745B8B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23C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Pathological differentiation (well)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6F1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1.99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6CC6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0.51-7.72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8B0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E258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2076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15FA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D9C2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BB5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0.60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91C7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0.24-1.48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50B5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0.27</w:t>
            </w:r>
          </w:p>
        </w:tc>
        <w:tc>
          <w:tcPr>
            <w:tcW w:w="7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F9B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3F17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20E3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F73415" w:rsidRPr="00DA390C" w14:paraId="16F494B3" w14:textId="77777777" w:rsidTr="005A3723">
        <w:trPr>
          <w:trHeight w:val="356"/>
        </w:trPr>
        <w:tc>
          <w:tcPr>
            <w:tcW w:w="4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88404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Cholangitis before the endoscopic procedure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D60D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1.50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95C0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0.30-7.46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ECEB7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0.62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1E30F" w14:textId="77777777" w:rsidR="00F73415" w:rsidRPr="00DA390C" w:rsidRDefault="00F73415" w:rsidP="005A3723">
            <w:pPr>
              <w:widowControl/>
              <w:jc w:val="left"/>
              <w:rPr>
                <w:rFonts w:ascii="Yu Gothic" w:eastAsia="Yu Gothic" w:hAnsi="Yu Gothic" w:cs="MS PGothic"/>
                <w:kern w:val="0"/>
                <w:sz w:val="18"/>
                <w:szCs w:val="18"/>
              </w:rPr>
            </w:pPr>
            <w:r w:rsidRPr="00DA390C">
              <w:rPr>
                <w:rFonts w:ascii="Yu Gothic" w:eastAsia="Yu Gothic" w:hAnsi="Yu Gothic" w:cs="MS P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0A47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175C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FBD90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8239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0.29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5A2F6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0.04-2.27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82F5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>0.24</w:t>
            </w:r>
          </w:p>
        </w:tc>
        <w:tc>
          <w:tcPr>
            <w:tcW w:w="7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D2906" w14:textId="77777777" w:rsidR="00F73415" w:rsidRPr="00DA390C" w:rsidRDefault="00F73415" w:rsidP="005A3723">
            <w:pPr>
              <w:widowControl/>
              <w:jc w:val="center"/>
              <w:rPr>
                <w:rFonts w:ascii="Yu Gothic" w:eastAsia="Yu Gothic" w:hAnsi="Yu Gothic" w:cs="MS PGothic"/>
                <w:kern w:val="0"/>
                <w:sz w:val="18"/>
                <w:szCs w:val="18"/>
              </w:rPr>
            </w:pPr>
            <w:r w:rsidRPr="00DA390C">
              <w:rPr>
                <w:rFonts w:ascii="Yu Gothic" w:eastAsia="Yu Gothic" w:hAnsi="Yu Gothic" w:cs="MS PGothic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B8DC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B6A9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18"/>
                <w:szCs w:val="18"/>
              </w:rPr>
            </w:pPr>
            <w:r w:rsidRPr="00DA390C">
              <w:rPr>
                <w:rFonts w:ascii="Arial" w:eastAsia="Yu Gothic" w:hAnsi="Arial" w:cs="Arial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3FF954D8" w14:textId="77777777" w:rsidR="00F73415" w:rsidRPr="00DA390C" w:rsidRDefault="00F73415" w:rsidP="00F73415">
      <w:pPr>
        <w:spacing w:line="276" w:lineRule="auto"/>
        <w:rPr>
          <w:rFonts w:ascii="Arial" w:hAnsi="Arial" w:cs="Arial"/>
          <w:bCs/>
          <w:sz w:val="24"/>
          <w:szCs w:val="24"/>
        </w:rPr>
      </w:pPr>
    </w:p>
    <w:p w14:paraId="5B38B6B0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>TRBO: Time to recurrent biliary obstruction</w:t>
      </w:r>
    </w:p>
    <w:p w14:paraId="29C55E12" w14:textId="77777777" w:rsidR="00F73415" w:rsidRPr="00DA390C" w:rsidRDefault="00F73415" w:rsidP="00F73415">
      <w:pPr>
        <w:spacing w:line="276" w:lineRule="auto"/>
        <w:rPr>
          <w:rFonts w:ascii="Arial" w:hAnsi="Arial" w:cs="Arial"/>
          <w:iCs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>HR: hazard ratio</w:t>
      </w:r>
    </w:p>
    <w:p w14:paraId="13B6B41B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sz w:val="24"/>
          <w:szCs w:val="24"/>
        </w:rPr>
        <w:t>CI: confidence interval</w:t>
      </w:r>
    </w:p>
    <w:p w14:paraId="632821EF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sz w:val="24"/>
          <w:szCs w:val="24"/>
        </w:rPr>
        <w:t xml:space="preserve">ENBD: </w:t>
      </w:r>
      <w:r w:rsidRPr="00DA390C">
        <w:rPr>
          <w:rFonts w:ascii="Arial" w:hAnsi="Arial" w:cs="Arial"/>
          <w:bCs/>
          <w:sz w:val="24"/>
          <w:szCs w:val="24"/>
        </w:rPr>
        <w:t>endoscopic nasobiliary drainage</w:t>
      </w:r>
    </w:p>
    <w:p w14:paraId="15AABB86" w14:textId="77777777" w:rsidR="00F73415" w:rsidRPr="00DA390C" w:rsidRDefault="00F73415" w:rsidP="00F73415">
      <w:pPr>
        <w:spacing w:line="276" w:lineRule="auto"/>
        <w:rPr>
          <w:rFonts w:ascii="Arial" w:hAnsi="Arial" w:cs="Arial"/>
          <w:iCs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 xml:space="preserve">PTPE: </w:t>
      </w:r>
      <w:r w:rsidRPr="00DA390C">
        <w:rPr>
          <w:rFonts w:ascii="Arial" w:hAnsi="Arial" w:cs="Arial"/>
          <w:iCs/>
          <w:sz w:val="24"/>
          <w:szCs w:val="24"/>
        </w:rPr>
        <w:t>percutaneous transhepatic portal embolization</w:t>
      </w:r>
      <w:r w:rsidRPr="00DA390C">
        <w:rPr>
          <w:rFonts w:ascii="Arial" w:hAnsi="Arial" w:cs="Arial"/>
          <w:iCs/>
          <w:sz w:val="24"/>
          <w:szCs w:val="24"/>
        </w:rPr>
        <w:br w:type="page"/>
      </w:r>
    </w:p>
    <w:p w14:paraId="51E8B428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646010">
        <w:rPr>
          <w:rFonts w:ascii="Arial" w:eastAsia="MS Mincho" w:hAnsi="Arial" w:cs="Arial"/>
          <w:b/>
          <w:bCs/>
          <w:sz w:val="24"/>
          <w:szCs w:val="24"/>
        </w:rPr>
        <w:lastRenderedPageBreak/>
        <w:t>Supplemental Table</w:t>
      </w:r>
      <w:r w:rsidRPr="00DA390C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DA390C">
        <w:rPr>
          <w:rFonts w:ascii="Arial" w:hAnsi="Arial" w:cs="Arial"/>
          <w:b/>
          <w:bCs/>
          <w:sz w:val="24"/>
          <w:szCs w:val="24"/>
        </w:rPr>
        <w:t xml:space="preserve">. </w:t>
      </w:r>
      <w:r w:rsidRPr="00DA390C">
        <w:rPr>
          <w:rFonts w:ascii="Arial" w:hAnsi="Arial" w:cs="Arial"/>
          <w:sz w:val="24"/>
          <w:szCs w:val="24"/>
        </w:rPr>
        <w:t>Logistic</w:t>
      </w:r>
      <w:r w:rsidRPr="00DA390C">
        <w:rPr>
          <w:rFonts w:ascii="Arial" w:hAnsi="Arial" w:cs="Arial"/>
          <w:b/>
          <w:bCs/>
          <w:sz w:val="24"/>
          <w:szCs w:val="24"/>
        </w:rPr>
        <w:t xml:space="preserve"> </w:t>
      </w:r>
      <w:r w:rsidRPr="00DA390C">
        <w:rPr>
          <w:rFonts w:ascii="Arial" w:hAnsi="Arial" w:cs="Arial"/>
          <w:sz w:val="24"/>
          <w:szCs w:val="24"/>
        </w:rPr>
        <w:t>regression analysis of factors relating to post-surgical AEs</w:t>
      </w:r>
    </w:p>
    <w:tbl>
      <w:tblPr>
        <w:tblW w:w="1346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118"/>
        <w:gridCol w:w="828"/>
        <w:gridCol w:w="1732"/>
        <w:gridCol w:w="1584"/>
        <w:gridCol w:w="828"/>
        <w:gridCol w:w="1732"/>
        <w:gridCol w:w="1647"/>
      </w:tblGrid>
      <w:tr w:rsidR="00F73415" w:rsidRPr="00DA390C" w14:paraId="50E14798" w14:textId="77777777" w:rsidTr="005A3723">
        <w:trPr>
          <w:trHeight w:val="360"/>
        </w:trPr>
        <w:tc>
          <w:tcPr>
            <w:tcW w:w="5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45060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41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C57A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Univariate analysis (post-surgical AEs)</w:t>
            </w:r>
          </w:p>
        </w:tc>
        <w:tc>
          <w:tcPr>
            <w:tcW w:w="42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DB874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Mlutivariate analysis (post-surgical AEs)</w:t>
            </w:r>
          </w:p>
        </w:tc>
      </w:tr>
      <w:tr w:rsidR="00F73415" w:rsidRPr="00DA390C" w14:paraId="6659F4FE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470C7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 xml:space="preserve">　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764FA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OR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1986D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95% CI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6AC8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22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22"/>
              </w:rPr>
              <w:t>-value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5FA1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OR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7CA3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95% CI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4FDD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i/>
                <w:iCs/>
                <w:kern w:val="0"/>
                <w:sz w:val="22"/>
              </w:rPr>
              <w:t>P</w:t>
            </w:r>
            <w:r w:rsidRPr="00DA390C">
              <w:rPr>
                <w:rFonts w:ascii="Arial" w:eastAsia="Yu Gothic" w:hAnsi="Arial" w:cs="Arial"/>
                <w:kern w:val="0"/>
                <w:sz w:val="22"/>
              </w:rPr>
              <w:t>-value</w:t>
            </w:r>
          </w:p>
        </w:tc>
      </w:tr>
      <w:tr w:rsidR="00F73415" w:rsidRPr="00DA390C" w14:paraId="687E9969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ABB6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ENBD group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2D1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0.60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ED7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0.10-3.51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56A4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4E2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40DE5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F616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6D460315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2EE1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Age (&gt;70-years-old)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507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0.28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DB0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0.06-1.36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3D1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899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0.47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275D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0.08-2.74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EA0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0.40</w:t>
            </w:r>
          </w:p>
        </w:tc>
      </w:tr>
      <w:tr w:rsidR="00F73415" w:rsidRPr="00DA390C" w14:paraId="7EC12D6A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4154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Sex, women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015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0.81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426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0.18-3.69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09D2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0.78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75F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37F4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5539" w14:textId="77777777" w:rsidR="00F73415" w:rsidRPr="00DA390C" w:rsidRDefault="00F73415" w:rsidP="005A372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425A454F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472C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Performance states 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530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160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0.04-1.00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A8555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BF7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0.27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B4F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0.05-1.58</w:t>
            </w: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350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0.15</w:t>
            </w:r>
          </w:p>
        </w:tc>
      </w:tr>
      <w:tr w:rsidR="00F73415" w:rsidRPr="00DA390C" w14:paraId="4A0D2B58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1BEC5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Bismuth classification type, III or IV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4197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0.60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164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0.13-2.72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03BCB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B5B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DC16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1116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3EEC0ABD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AB34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R0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DAB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2.67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270E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0.55-12.9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05E0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0.22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284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3E0E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6825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5627B4C1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D074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Malignant hilar biliary obstruction length (&gt;15mm)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92CF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2.0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F08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0.43-9.42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77C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2BF6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5815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DDB1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04167E1A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27B4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PTPE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60B3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2.0</w:t>
            </w: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38B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0.43-9.42</w:t>
            </w:r>
          </w:p>
        </w:tc>
        <w:tc>
          <w:tcPr>
            <w:tcW w:w="1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475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0.38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5DB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8E98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2CA4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244C4BA8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5BEC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Pathological differentiation (well)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5A9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0.60</w:t>
            </w:r>
          </w:p>
        </w:tc>
        <w:tc>
          <w:tcPr>
            <w:tcW w:w="17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C4B1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0.13-2.72</w:t>
            </w:r>
          </w:p>
        </w:tc>
        <w:tc>
          <w:tcPr>
            <w:tcW w:w="15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4ADD8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0.51</w:t>
            </w:r>
          </w:p>
        </w:tc>
        <w:tc>
          <w:tcPr>
            <w:tcW w:w="8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EE64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51A3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B5DA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73415" w:rsidRPr="00DA390C" w14:paraId="322BF71C" w14:textId="77777777" w:rsidTr="005A3723">
        <w:trPr>
          <w:trHeight w:val="360"/>
        </w:trPr>
        <w:tc>
          <w:tcPr>
            <w:tcW w:w="5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FF2F3F" w14:textId="77777777" w:rsidR="00F73415" w:rsidRPr="00DA390C" w:rsidRDefault="00F73415" w:rsidP="005A3723">
            <w:pPr>
              <w:widowControl/>
              <w:jc w:val="left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Cholangitis before the endoscopic procedure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C434BD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1.04</w:t>
            </w: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2820FC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0.09-11.5</w:t>
            </w:r>
          </w:p>
        </w:tc>
        <w:tc>
          <w:tcPr>
            <w:tcW w:w="1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8633B9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  <w:r w:rsidRPr="00DA390C">
              <w:rPr>
                <w:rFonts w:ascii="Arial" w:eastAsia="Yu Gothic" w:hAnsi="Arial" w:cs="Arial"/>
                <w:kern w:val="0"/>
                <w:sz w:val="22"/>
              </w:rPr>
              <w:t>0.97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7B0153" w14:textId="77777777" w:rsidR="00F73415" w:rsidRPr="00DA390C" w:rsidRDefault="00F73415" w:rsidP="005A3723">
            <w:pPr>
              <w:widowControl/>
              <w:jc w:val="center"/>
              <w:rPr>
                <w:rFonts w:ascii="Arial" w:eastAsia="Yu Gothic" w:hAnsi="Arial" w:cs="Arial"/>
                <w:kern w:val="0"/>
                <w:sz w:val="22"/>
              </w:rPr>
            </w:pPr>
          </w:p>
        </w:tc>
        <w:tc>
          <w:tcPr>
            <w:tcW w:w="17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EE7AB6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E667E1" w14:textId="77777777" w:rsidR="00F73415" w:rsidRPr="00DA390C" w:rsidRDefault="00F73415" w:rsidP="005A372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BB3B4E0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</w:p>
    <w:p w14:paraId="182EEF10" w14:textId="77777777" w:rsidR="00F73415" w:rsidRPr="00DA390C" w:rsidRDefault="00F73415" w:rsidP="00F73415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>AEs: adverse events</w:t>
      </w:r>
    </w:p>
    <w:p w14:paraId="5B95EBB0" w14:textId="77777777" w:rsidR="00F73415" w:rsidRPr="00DA390C" w:rsidRDefault="00F73415" w:rsidP="00F73415">
      <w:pPr>
        <w:spacing w:line="276" w:lineRule="auto"/>
        <w:rPr>
          <w:rFonts w:ascii="Arial" w:hAnsi="Arial" w:cs="Arial"/>
          <w:iCs/>
          <w:sz w:val="24"/>
          <w:szCs w:val="24"/>
        </w:rPr>
      </w:pPr>
      <w:r w:rsidRPr="00DA390C">
        <w:rPr>
          <w:rFonts w:ascii="Arial" w:hAnsi="Arial" w:cs="Arial"/>
          <w:iCs/>
          <w:sz w:val="24"/>
          <w:szCs w:val="24"/>
        </w:rPr>
        <w:t>OR: odds ratios</w:t>
      </w:r>
    </w:p>
    <w:p w14:paraId="217FA597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sz w:val="24"/>
          <w:szCs w:val="24"/>
        </w:rPr>
        <w:t>CI: confidence interval</w:t>
      </w:r>
    </w:p>
    <w:p w14:paraId="390065DA" w14:textId="77777777" w:rsidR="00F73415" w:rsidRPr="00DA390C" w:rsidRDefault="00F73415" w:rsidP="00F73415">
      <w:pPr>
        <w:spacing w:line="276" w:lineRule="auto"/>
        <w:rPr>
          <w:rFonts w:ascii="Arial" w:hAnsi="Arial" w:cs="Arial"/>
          <w:sz w:val="24"/>
          <w:szCs w:val="24"/>
        </w:rPr>
      </w:pPr>
      <w:r w:rsidRPr="00DA390C">
        <w:rPr>
          <w:rFonts w:ascii="Arial" w:hAnsi="Arial" w:cs="Arial"/>
          <w:sz w:val="24"/>
          <w:szCs w:val="24"/>
        </w:rPr>
        <w:t xml:space="preserve">ENBD: </w:t>
      </w:r>
      <w:r w:rsidRPr="00DA390C">
        <w:rPr>
          <w:rFonts w:ascii="Arial" w:hAnsi="Arial" w:cs="Arial"/>
          <w:bCs/>
          <w:sz w:val="24"/>
          <w:szCs w:val="24"/>
        </w:rPr>
        <w:t>endoscopic nasobiliary drainage</w:t>
      </w:r>
    </w:p>
    <w:p w14:paraId="5F50276C" w14:textId="77777777" w:rsidR="00F73415" w:rsidRPr="00DA390C" w:rsidRDefault="00F73415" w:rsidP="00F73415">
      <w:pPr>
        <w:spacing w:line="276" w:lineRule="auto"/>
        <w:rPr>
          <w:rFonts w:ascii="Arial" w:hAnsi="Arial" w:cs="Arial"/>
          <w:iCs/>
          <w:sz w:val="24"/>
          <w:szCs w:val="24"/>
        </w:rPr>
      </w:pPr>
      <w:r w:rsidRPr="00DA390C">
        <w:rPr>
          <w:rFonts w:ascii="Arial" w:hAnsi="Arial" w:cs="Arial"/>
          <w:bCs/>
          <w:sz w:val="24"/>
          <w:szCs w:val="24"/>
        </w:rPr>
        <w:t xml:space="preserve">PTPE: </w:t>
      </w:r>
      <w:r w:rsidRPr="00DA390C">
        <w:rPr>
          <w:rFonts w:ascii="Arial" w:hAnsi="Arial" w:cs="Arial"/>
          <w:iCs/>
          <w:sz w:val="24"/>
          <w:szCs w:val="24"/>
        </w:rPr>
        <w:t>percutaneous transhepatic portal embolization</w:t>
      </w:r>
    </w:p>
    <w:p w14:paraId="5147F26F" w14:textId="77777777" w:rsidR="009B39BA" w:rsidRDefault="009B39BA"/>
    <w:sectPr w:rsidR="009B39BA" w:rsidSect="00F73415">
      <w:pgSz w:w="16838" w:h="11906" w:orient="landscape" w:code="9"/>
      <w:pgMar w:top="1701" w:right="1701" w:bottom="1701" w:left="1985" w:header="1701" w:footer="992" w:gutter="0"/>
      <w:lnNumType w:countBy="1" w:restart="continuous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415"/>
    <w:rsid w:val="00545B30"/>
    <w:rsid w:val="009B39BA"/>
    <w:rsid w:val="00C92284"/>
    <w:rsid w:val="00F7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E1BF2"/>
  <w15:chartTrackingRefBased/>
  <w15:docId w15:val="{B7DE2948-3C3C-47C3-9AE5-E2EB35564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41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341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341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341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341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341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341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341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341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341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34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34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34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34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34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34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34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34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34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341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34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341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34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341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34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341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34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341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34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3415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734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452</Words>
  <Characters>2583</Characters>
  <Application>Microsoft Office Word</Application>
  <DocSecurity>0</DocSecurity>
  <Lines>21</Lines>
  <Paragraphs>6</Paragraphs>
  <ScaleCrop>false</ScaleCrop>
  <Company>SpringerNature</Company>
  <LinksUpToDate>false</LinksUpToDate>
  <CharactersWithSpaces>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2024-09-20T10:21:00Z</dcterms:created>
  <dcterms:modified xsi:type="dcterms:W3CDTF">2024-09-20T10:21:00Z</dcterms:modified>
</cp:coreProperties>
</file>