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Supplementary Figure 1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 xml:space="preserve"> </w:t>
      </w: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External validation of mRNA levels was performed using GEO database.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 xml:space="preserve"> Below the X-axis are detailed descriptions of GEO entry numbers and their corresponding tumors. Here, we adopt the same cancer naming method as TCGA. The Y axis shows the expression amounts of genes. Note that we used a z score for the expression amounts of genes, thus correcting the expression amount to a dimensionless standardized data with an average of 0 and a variance of 1. </w:t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华文楷体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274310" cy="3296285"/>
            <wp:effectExtent l="0" t="0" r="0" b="5715"/>
            <wp:wrapSquare wrapText="bothSides"/>
            <wp:docPr id="8882377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237759" name="图片 88823775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Pr="0098050E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华文楷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274310" cy="5274310"/>
            <wp:effectExtent l="0" t="0" r="0" b="0"/>
            <wp:wrapSquare wrapText="bothSides"/>
            <wp:docPr id="124620969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209699" name="图片 124620969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Supplementary Figure 2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 xml:space="preserve"> </w:t>
      </w: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Diagnostic value of SYTL4 to distinguish tumor tissues from normal tissues in TCGA.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> The AUC value was more than 0.7.</w:t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Pr="0098050E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华文楷体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274310" cy="3515995"/>
            <wp:effectExtent l="0" t="0" r="0" b="1905"/>
            <wp:wrapSquare wrapText="bothSides"/>
            <wp:docPr id="8451549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154918" name="图片 8451549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Supplementary Figure 3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 xml:space="preserve"> </w:t>
      </w: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Diagnostic value of SYTL4 to distinguish tumor tissues from normal tissues in TCGA-</w:t>
      </w:r>
      <w:proofErr w:type="spellStart"/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GTEx</w:t>
      </w:r>
      <w:proofErr w:type="spellEnd"/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> The AUC value was more than 0.7.</w:t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Pr="0098050E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华文楷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274310" cy="5274310"/>
            <wp:effectExtent l="0" t="0" r="0" b="0"/>
            <wp:wrapSquare wrapText="bothSides"/>
            <wp:docPr id="144301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0123" name="图片 14430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 xml:space="preserve">Supplementary Figure </w:t>
      </w:r>
      <w:r w:rsidRPr="00772862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 xml:space="preserve"> </w:t>
      </w: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Kruskal-Wallis examined the differences in SYTL4 expression in molecular subtypes.</w:t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华文楷体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274310" cy="6559550"/>
            <wp:effectExtent l="0" t="0" r="0" b="6350"/>
            <wp:wrapSquare wrapText="bothSides"/>
            <wp:docPr id="105530483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304834" name="图片 105530483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5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B331B" w:rsidRPr="0098050E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 xml:space="preserve">Supplementary Figure 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 xml:space="preserve">5 </w:t>
      </w: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Kaplan-Meier analysis and log-rank tes</w:t>
      </w:r>
      <w:r>
        <w:rPr>
          <w:rFonts w:ascii="Times New Roman" w:eastAsia="华文楷体" w:hAnsi="Times New Roman" w:cs="Times New Roman" w:hint="eastAsia"/>
          <w:b/>
          <w:bCs/>
          <w:color w:val="000000" w:themeColor="text1"/>
          <w:sz w:val="24"/>
          <w:szCs w:val="24"/>
        </w:rPr>
        <w:t>t.</w:t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华文楷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274310" cy="2260600"/>
            <wp:effectExtent l="0" t="0" r="0" b="0"/>
            <wp:wrapSquare wrapText="bothSides"/>
            <wp:docPr id="8596312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631210" name="图片 85963121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 w:rsidRPr="0098050E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>Supplementary Figure 6 Single cell quality control.</w:t>
      </w:r>
      <w:r w:rsidRPr="00980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>The results showed that we used high quality cells for downstream analysis</w:t>
      </w:r>
      <w:r>
        <w:rPr>
          <w:rFonts w:ascii="Times New Roman" w:eastAsia="华文楷体" w:hAnsi="Times New Roman" w:cs="Times New Roman" w:hint="eastAsia"/>
          <w:color w:val="000000" w:themeColor="text1"/>
          <w:sz w:val="24"/>
          <w:szCs w:val="24"/>
        </w:rPr>
        <w:t>.</w:t>
      </w: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</w:p>
    <w:p w:rsidR="002B331B" w:rsidRPr="00CA243C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华文楷体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274310" cy="7911465"/>
            <wp:effectExtent l="0" t="0" r="0" b="635"/>
            <wp:wrapSquare wrapText="bothSides"/>
            <wp:docPr id="15040980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09808" name="图片 15040980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331B" w:rsidRPr="0098050E" w:rsidRDefault="002B331B" w:rsidP="002B331B">
      <w:pPr>
        <w:wordWrap w:val="0"/>
        <w:spacing w:line="480" w:lineRule="exact"/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</w:pPr>
      <w:r w:rsidRPr="00CA243C">
        <w:rPr>
          <w:rFonts w:ascii="Times New Roman" w:eastAsia="华文楷体" w:hAnsi="Times New Roman" w:cs="Times New Roman"/>
          <w:b/>
          <w:bCs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eastAsia="华文楷体" w:hAnsi="Times New Roman" w:cs="Times New Roman" w:hint="eastAsia"/>
          <w:b/>
          <w:bCs/>
          <w:color w:val="000000" w:themeColor="text1"/>
          <w:sz w:val="24"/>
          <w:szCs w:val="24"/>
        </w:rPr>
        <w:t>7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 xml:space="preserve"> </w:t>
      </w:r>
      <w:r w:rsidRPr="00CA243C">
        <w:rPr>
          <w:rFonts w:ascii="Times New Roman" w:eastAsia="华文楷体" w:hAnsi="Times New Roman" w:cs="Times New Roman" w:hint="eastAsia"/>
          <w:b/>
          <w:bCs/>
          <w:color w:val="000000" w:themeColor="text1"/>
          <w:sz w:val="24"/>
          <w:szCs w:val="24"/>
        </w:rPr>
        <w:t>Cell distribution.</w:t>
      </w:r>
      <w:r>
        <w:rPr>
          <w:rFonts w:ascii="Times New Roman" w:eastAsia="华文楷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 xml:space="preserve">After integration with </w:t>
      </w:r>
      <w:proofErr w:type="spellStart"/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>RunHarmony</w:t>
      </w:r>
      <w:proofErr w:type="spellEnd"/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t>, the cells are evenly distributed between the individual samples, which means</w:t>
      </w:r>
      <w:r w:rsidRPr="0098050E">
        <w:rPr>
          <w:rFonts w:ascii="Times New Roman" w:eastAsia="华文楷体" w:hAnsi="Times New Roman" w:cs="Times New Roman"/>
          <w:color w:val="000000" w:themeColor="text1"/>
          <w:sz w:val="24"/>
          <w:szCs w:val="24"/>
        </w:rPr>
        <w:lastRenderedPageBreak/>
        <w:t xml:space="preserve"> that the integration is good</w:t>
      </w:r>
      <w:r>
        <w:rPr>
          <w:rFonts w:ascii="Times New Roman" w:eastAsia="华文楷体" w:hAnsi="Times New Roman" w:cs="Times New Roman" w:hint="eastAsia"/>
          <w:color w:val="000000" w:themeColor="text1"/>
          <w:sz w:val="24"/>
          <w:szCs w:val="24"/>
        </w:rPr>
        <w:t>.</w:t>
      </w:r>
    </w:p>
    <w:p w:rsidR="00EC1FDA" w:rsidRPr="002B331B" w:rsidRDefault="00EC1FDA"/>
    <w:sectPr w:rsidR="00EC1FDA" w:rsidRPr="002B33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31B"/>
    <w:rsid w:val="001C69E2"/>
    <w:rsid w:val="0023059F"/>
    <w:rsid w:val="002B331B"/>
    <w:rsid w:val="004828A5"/>
    <w:rsid w:val="005A2FF8"/>
    <w:rsid w:val="00721A55"/>
    <w:rsid w:val="00816440"/>
    <w:rsid w:val="008C280D"/>
    <w:rsid w:val="00EC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6EB40"/>
  <w15:chartTrackingRefBased/>
  <w15:docId w15:val="{95452EC7-D299-5444-B48A-07674A6FE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331B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Pan</dc:creator>
  <cp:keywords/>
  <dc:description/>
  <cp:lastModifiedBy>Jie Pan</cp:lastModifiedBy>
  <cp:revision>1</cp:revision>
  <dcterms:created xsi:type="dcterms:W3CDTF">2024-08-17T09:36:00Z</dcterms:created>
  <dcterms:modified xsi:type="dcterms:W3CDTF">2024-08-17T09:42:00Z</dcterms:modified>
</cp:coreProperties>
</file>