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rPr>
          <w:b/>
          <w:bCs/>
        </w:rPr>
        <w:t>Table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S</w:t>
      </w:r>
      <w:r>
        <w:rPr>
          <w:rFonts w:hint="eastAsia"/>
          <w:b/>
          <w:bCs/>
          <w:lang w:val="en-US" w:eastAsia="zh-CN"/>
        </w:rPr>
        <w:t>2</w:t>
      </w:r>
      <w:bookmarkStart w:id="0" w:name="_GoBack"/>
      <w:bookmarkEnd w:id="0"/>
      <w:r>
        <w:rPr>
          <w:rFonts w:hint="eastAsia"/>
        </w:rPr>
        <w:t xml:space="preserve"> Primers used in this study</w:t>
      </w:r>
    </w:p>
    <w:tbl>
      <w:tblPr>
        <w:tblStyle w:val="4"/>
        <w:tblW w:w="8908" w:type="dxa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831"/>
        <w:gridCol w:w="3778"/>
        <w:gridCol w:w="2165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gene</w:t>
            </w:r>
          </w:p>
        </w:tc>
        <w:tc>
          <w:tcPr>
            <w:tcW w:w="183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Name of primers</w:t>
            </w:r>
          </w:p>
        </w:tc>
        <w:tc>
          <w:tcPr>
            <w:tcW w:w="377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Sequence of primer (5′–3′)</w:t>
            </w:r>
          </w:p>
        </w:tc>
        <w:tc>
          <w:tcPr>
            <w:tcW w:w="216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Reference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op w:val="single" w:color="auto" w:sz="4" w:space="0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Acc1</w:t>
            </w:r>
          </w:p>
        </w:tc>
        <w:tc>
          <w:tcPr>
            <w:tcW w:w="1831" w:type="dxa"/>
            <w:tcBorders>
              <w:top w:val="single" w:color="auto" w:sz="4" w:space="0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Acc1–F</w:t>
            </w:r>
          </w:p>
        </w:tc>
        <w:tc>
          <w:tcPr>
            <w:tcW w:w="3778" w:type="dxa"/>
            <w:tcBorders>
              <w:top w:val="single" w:color="auto" w:sz="4" w:space="0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CCCAATATTTATCATGAGACTTGCA</w:t>
            </w:r>
          </w:p>
        </w:tc>
        <w:tc>
          <w:tcPr>
            <w:tcW w:w="2165" w:type="dxa"/>
            <w:tcBorders>
              <w:top w:val="single" w:color="auto" w:sz="4" w:space="0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 [1]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Acc1–R</w:t>
            </w:r>
          </w:p>
        </w:tc>
        <w:tc>
          <w:tcPr>
            <w:tcW w:w="3778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CAACATTTGAATGAATCTCCACG</w:t>
            </w:r>
          </w:p>
        </w:tc>
        <w:tc>
          <w:tcPr>
            <w:tcW w:w="2165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DMC1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DMC1–F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TGCCAATTGCTGAGAGATTTG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180" w:firstLineChars="100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[2]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DMC1–R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AGCCACCTGTTGTAATCTGG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Pgk1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Pgk1–F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TCGTCCTAAGGGTGTTACTCCTAA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 xml:space="preserve">  [1]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Pgk1–R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AAGCTCGCGCCACCACCAGTTGAG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nrITS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nrITS–F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TCCTCCGCTTATTGATAGC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180" w:firstLineChars="100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[3]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nrITS–R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GGAAGTAAAAGTCGTAACAAGG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matK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matK–F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TACCCTATCCTATCCAT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180" w:firstLineChars="100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[4]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matK–R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GCTAGAACTTTAGCTCGTA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rbcL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rbcL–F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ATGTCACCACAAACAGAGACTAAAGC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180" w:firstLineChars="100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[5]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rbcL–R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CTTCTGCTACAAATAAGAATCGATCTC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trnL</w:t>
            </w:r>
            <w:r>
              <w:rPr>
                <w:rFonts w:eastAsia="宋体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F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trnL–F1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CGAAATCGGTAGACGCTACG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="180" w:firstLineChars="100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</w:rPr>
              <w:t>[6]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trnL–F2</w:t>
            </w:r>
          </w:p>
        </w:tc>
        <w:tc>
          <w:tcPr>
            <w:tcW w:w="377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ATTGAACTGGTGACACGAG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 w:val="18"/>
                <w:szCs w:val="18"/>
              </w:rPr>
            </w:pPr>
          </w:p>
        </w:tc>
      </w:tr>
    </w:tbl>
    <w:p/>
    <w:p>
      <w:pPr>
        <w:tabs>
          <w:tab w:val="left" w:pos="453"/>
        </w:tabs>
        <w:rPr>
          <w:b/>
          <w:sz w:val="28"/>
        </w:rPr>
      </w:pPr>
      <w:r>
        <w:rPr>
          <w:b/>
          <w:sz w:val="28"/>
        </w:rPr>
        <w:t>References</w:t>
      </w:r>
    </w:p>
    <w:p>
      <w:pPr>
        <w:numPr>
          <w:ilvl w:val="0"/>
          <w:numId w:val="1"/>
        </w:numPr>
        <w:rPr>
          <w:rFonts w:eastAsia="宋体" w:cs="Times New Roman"/>
          <w:szCs w:val="21"/>
        </w:rPr>
      </w:pPr>
      <w:r>
        <w:rPr>
          <w:rFonts w:hint="eastAsia"/>
        </w:rPr>
        <w:t>Huang S, Sirikhachornkit A, Faris JD, Su X, Gill BS, Haselkorn R, Gornicki P. Phylogenetic analysis of the acetyl</w:t>
      </w:r>
      <w:r>
        <w:t>–</w:t>
      </w:r>
      <w:r>
        <w:rPr>
          <w:rFonts w:hint="eastAsia"/>
        </w:rPr>
        <w:t>CoA carboxylase and 3</w:t>
      </w:r>
      <w:r>
        <w:t>–</w:t>
      </w:r>
      <w:r>
        <w:rPr>
          <w:rFonts w:hint="eastAsia"/>
        </w:rPr>
        <w:t>phosphoglycerate kinase loci in wheat and other grasses. Plant Molecular Biology</w:t>
      </w:r>
      <w:r>
        <w:t>.</w:t>
      </w:r>
      <w:r>
        <w:rPr>
          <w:rFonts w:hint="eastAsia"/>
        </w:rPr>
        <w:t xml:space="preserve"> 2002</w:t>
      </w:r>
      <w:r>
        <w:t xml:space="preserve">; </w:t>
      </w:r>
      <w:r>
        <w:rPr>
          <w:rFonts w:hint="eastAsia"/>
        </w:rPr>
        <w:t>48: 805</w:t>
      </w:r>
      <w:r>
        <w:rPr>
          <w:rFonts w:hint="eastAsia" w:ascii="宋体" w:hAnsi="宋体"/>
        </w:rPr>
        <w:t>–</w:t>
      </w:r>
      <w:r>
        <w:rPr>
          <w:rFonts w:hint="eastAsia"/>
        </w:rPr>
        <w:t>820.</w:t>
      </w:r>
    </w:p>
    <w:p>
      <w:pPr>
        <w:pStyle w:val="9"/>
        <w:numPr>
          <w:ilvl w:val="0"/>
          <w:numId w:val="1"/>
        </w:numPr>
      </w:pPr>
      <w:r>
        <w:rPr>
          <w:rFonts w:hint="eastAsia"/>
        </w:rPr>
        <w:t xml:space="preserve">Petersen G, Seberg O. Phylogenetic evidence for excision of </w:t>
      </w:r>
      <w:r>
        <w:rPr>
          <w:rFonts w:hint="eastAsia"/>
          <w:i/>
        </w:rPr>
        <w:t>Stowaway miniature</w:t>
      </w:r>
      <w:r>
        <w:rPr>
          <w:rFonts w:hint="eastAsia" w:ascii="宋体" w:hAnsi="宋体"/>
        </w:rPr>
        <w:t xml:space="preserve"> </w:t>
      </w:r>
      <w:r>
        <w:rPr>
          <w:rFonts w:hint="eastAsia"/>
        </w:rPr>
        <w:t>inverted</w:t>
      </w:r>
      <w:r>
        <w:t>–</w:t>
      </w:r>
      <w:r>
        <w:rPr>
          <w:rFonts w:hint="eastAsia"/>
        </w:rPr>
        <w:t>repeat transposable elements in Triticeae (Poaceae). Molecular Biology and Evolution</w:t>
      </w:r>
      <w:r>
        <w:t xml:space="preserve">. </w:t>
      </w:r>
      <w:r>
        <w:rPr>
          <w:rFonts w:hint="eastAsia"/>
        </w:rPr>
        <w:t>2000</w:t>
      </w:r>
      <w:r>
        <w:t>;</w:t>
      </w:r>
      <w:r>
        <w:rPr>
          <w:rFonts w:hint="eastAsia" w:ascii="宋体" w:hAnsi="宋体"/>
        </w:rPr>
        <w:t xml:space="preserve"> </w:t>
      </w:r>
      <w:r>
        <w:rPr>
          <w:rFonts w:hint="eastAsia"/>
        </w:rPr>
        <w:t>17: 1589</w:t>
      </w:r>
      <w:r>
        <w:t>–</w:t>
      </w:r>
      <w:r>
        <w:rPr>
          <w:rFonts w:hint="eastAsia"/>
        </w:rPr>
        <w:t>1596.</w:t>
      </w:r>
    </w:p>
    <w:p>
      <w:pPr>
        <w:pStyle w:val="9"/>
        <w:numPr>
          <w:ilvl w:val="0"/>
          <w:numId w:val="1"/>
        </w:numPr>
      </w:pPr>
      <w:r>
        <w:rPr>
          <w:rFonts w:hint="eastAsia"/>
        </w:rPr>
        <w:t>Guindon S, Delsuc F, Dufayard JF, Gascuel O. Estimating maximum likelihood phylogenies with PhyML. Methods in Molecular Biology (Clifton, N.J.)</w:t>
      </w:r>
      <w:r>
        <w:t xml:space="preserve">. </w:t>
      </w:r>
      <w:r>
        <w:rPr>
          <w:rFonts w:hint="eastAsia"/>
        </w:rPr>
        <w:t>2009</w:t>
      </w:r>
      <w:r>
        <w:t>;</w:t>
      </w:r>
      <w:r>
        <w:rPr>
          <w:rFonts w:hint="eastAsia" w:ascii="宋体" w:hAnsi="宋体"/>
        </w:rPr>
        <w:t xml:space="preserve"> </w:t>
      </w:r>
      <w:r>
        <w:rPr>
          <w:rFonts w:hint="eastAsia"/>
        </w:rPr>
        <w:t>537: 113</w:t>
      </w:r>
      <w:r>
        <w:t>–</w:t>
      </w:r>
      <w:r>
        <w:rPr>
          <w:rFonts w:hint="eastAsia"/>
        </w:rPr>
        <w:t>137.</w:t>
      </w:r>
    </w:p>
    <w:p>
      <w:pPr>
        <w:pStyle w:val="9"/>
        <w:numPr>
          <w:ilvl w:val="0"/>
          <w:numId w:val="1"/>
        </w:numPr>
      </w:pPr>
      <w:r>
        <w:rPr>
          <w:rFonts w:hint="eastAsia"/>
        </w:rPr>
        <w:t xml:space="preserve">Khidir WH. The </w:t>
      </w:r>
      <w:r>
        <w:rPr>
          <w:rFonts w:hint="eastAsia"/>
          <w:i/>
        </w:rPr>
        <w:t>matK</w:t>
      </w:r>
      <w:r>
        <w:rPr>
          <w:rFonts w:hint="eastAsia" w:ascii="宋体" w:hAnsi="宋体"/>
        </w:rPr>
        <w:t xml:space="preserve"> </w:t>
      </w:r>
      <w:r>
        <w:rPr>
          <w:rFonts w:hint="eastAsia"/>
        </w:rPr>
        <w:t>gene: sequence variation and application in plant systematics. American Journal of Botany</w:t>
      </w:r>
      <w:r>
        <w:t xml:space="preserve">. </w:t>
      </w:r>
      <w:r>
        <w:rPr>
          <w:rFonts w:hint="eastAsia"/>
        </w:rPr>
        <w:t>1997</w:t>
      </w:r>
      <w:r>
        <w:t>;</w:t>
      </w:r>
      <w:r>
        <w:rPr>
          <w:rFonts w:hint="eastAsia" w:ascii="宋体" w:hAnsi="宋体"/>
        </w:rPr>
        <w:t xml:space="preserve"> </w:t>
      </w:r>
      <w:r>
        <w:rPr>
          <w:rFonts w:hint="eastAsia"/>
        </w:rPr>
        <w:t>19: 830</w:t>
      </w:r>
      <w:r>
        <w:t>–</w:t>
      </w:r>
      <w:r>
        <w:rPr>
          <w:rFonts w:hint="eastAsia"/>
        </w:rPr>
        <w:t>839.</w:t>
      </w:r>
    </w:p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Kress WJ, Erickson DL. A two</w:t>
      </w:r>
      <w:r>
        <w:t>–</w:t>
      </w:r>
      <w:r>
        <w:rPr>
          <w:rFonts w:hint="eastAsia"/>
        </w:rPr>
        <w:t xml:space="preserve">locus global DNA barcode for land plants: the coding </w:t>
      </w:r>
      <w:r>
        <w:rPr>
          <w:rFonts w:hint="eastAsia"/>
          <w:i/>
          <w:iCs/>
        </w:rPr>
        <w:t xml:space="preserve">rbcL </w:t>
      </w:r>
      <w:r>
        <w:rPr>
          <w:rFonts w:hint="eastAsia"/>
        </w:rPr>
        <w:t>gene complements the non</w:t>
      </w:r>
      <w:r>
        <w:t>–</w:t>
      </w:r>
      <w:r>
        <w:rPr>
          <w:rFonts w:hint="eastAsia"/>
        </w:rPr>
        <w:t xml:space="preserve">coding </w:t>
      </w:r>
      <w:r>
        <w:rPr>
          <w:rFonts w:hint="eastAsia"/>
          <w:i/>
          <w:iCs/>
        </w:rPr>
        <w:t>trnH</w:t>
      </w:r>
      <w:r>
        <w:t>–</w:t>
      </w:r>
      <w:r>
        <w:rPr>
          <w:rFonts w:hint="eastAsia"/>
          <w:i/>
          <w:iCs/>
        </w:rPr>
        <w:t>psbA</w:t>
      </w:r>
      <w:r>
        <w:rPr>
          <w:rFonts w:hint="eastAsia"/>
        </w:rPr>
        <w:t xml:space="preserve"> spacer region. PLoS One</w:t>
      </w:r>
      <w:r>
        <w:t xml:space="preserve">. </w:t>
      </w:r>
      <w:r>
        <w:rPr>
          <w:rFonts w:hint="eastAsia"/>
        </w:rPr>
        <w:t>2007</w:t>
      </w:r>
      <w:r>
        <w:t>;</w:t>
      </w:r>
      <w:r>
        <w:rPr>
          <w:rFonts w:hint="eastAsia"/>
        </w:rPr>
        <w:t xml:space="preserve"> 2: e508</w:t>
      </w:r>
    </w:p>
    <w:p>
      <w:pPr>
        <w:pStyle w:val="10"/>
        <w:numPr>
          <w:ilvl w:val="0"/>
          <w:numId w:val="1"/>
        </w:numPr>
        <w:ind w:firstLineChars="0"/>
      </w:pPr>
      <w:r>
        <w:rPr>
          <w:rFonts w:hint="eastAsia"/>
        </w:rPr>
        <w:t>Taberlet P, Gielly L, Pautou G, Bouvet J. Universal primers for amplification of three non</w:t>
      </w:r>
      <w:r>
        <w:t>–</w:t>
      </w:r>
      <w:r>
        <w:rPr>
          <w:rFonts w:hint="eastAsia"/>
        </w:rPr>
        <w:t xml:space="preserve">coding regions of chloroplast DNA. </w:t>
      </w:r>
      <w:r>
        <w:t xml:space="preserve">Plant Molecular Biology. </w:t>
      </w:r>
      <w:r>
        <w:rPr>
          <w:rFonts w:hint="eastAsia"/>
        </w:rPr>
        <w:t>1991</w:t>
      </w:r>
      <w:r>
        <w:t>;</w:t>
      </w:r>
      <w:r>
        <w:rPr>
          <w:rFonts w:hint="eastAsia"/>
        </w:rPr>
        <w:t xml:space="preserve"> 17: 1105</w:t>
      </w:r>
      <w:r>
        <w:t>–</w:t>
      </w:r>
      <w:r>
        <w:rPr>
          <w:rFonts w:hint="eastAsia"/>
        </w:rPr>
        <w:t>9.</w:t>
      </w:r>
    </w:p>
    <w:p>
      <w:pPr>
        <w:rPr>
          <w:rFonts w:hint="eastAsia" w:eastAsia="宋体" w:cs="Times New Roman"/>
          <w:szCs w:val="21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F00DFB"/>
    <w:multiLevelType w:val="multilevel"/>
    <w:tmpl w:val="5DF00DFB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czMTM2M7W0sDQyszRQ0lEKTi0uzszPAykwrAUAboQbxCwAAAA="/>
    <w:docVar w:name="commondata" w:val="eyJoZGlkIjoiMzA1MzhiMjMwNmY3MTk5M2I2OWFhOGZhNDMwZDc3YjEifQ=="/>
  </w:docVars>
  <w:rsids>
    <w:rsidRoot w:val="004D34BA"/>
    <w:rsid w:val="001C6DA6"/>
    <w:rsid w:val="004D34BA"/>
    <w:rsid w:val="00B06666"/>
    <w:rsid w:val="00CF364B"/>
    <w:rsid w:val="1A94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List Paragraph1"/>
    <w:basedOn w:val="1"/>
    <w:uiPriority w:val="0"/>
    <w:pPr>
      <w:ind w:firstLine="420" w:firstLineChars="200"/>
    </w:pPr>
    <w:rPr>
      <w:rFonts w:eastAsia="宋体" w:cs="Times New Roman"/>
      <w:szCs w:val="21"/>
    </w:rPr>
  </w:style>
  <w:style w:type="paragraph" w:customStyle="1" w:styleId="9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1445</Characters>
  <Lines>12</Lines>
  <Paragraphs>3</Paragraphs>
  <TotalTime>3</TotalTime>
  <ScaleCrop>false</ScaleCrop>
  <LinksUpToDate>false</LinksUpToDate>
  <CharactersWithSpaces>1608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2024-08-09T03:06:00Z</dcterms:created>
  <dc:creator>Cuishle Mo</dc:creator>
  <cp:lastModifiedBy>shaun</cp:lastModifiedBy>
  <dcterms:modified xsi:type="dcterms:W3CDTF">2024-08-09T03:16:05Z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658F9F4EAD3643CBAB36B215B4A680DF_12</vt:lpwstr>
  </property>
</Properties>
</file>