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9098B" w14:textId="77777777" w:rsidR="00B40789" w:rsidRPr="0052121A" w:rsidRDefault="00B40789" w:rsidP="00B40789">
      <w:pPr>
        <w:spacing w:after="0"/>
        <w:rPr>
          <w:b/>
          <w:bCs/>
        </w:rPr>
      </w:pPr>
      <w:r w:rsidRPr="0052121A">
        <w:rPr>
          <w:b/>
          <w:bCs/>
        </w:rPr>
        <w:t>Box 1 – Motivating Example: DCM-EPIC</w:t>
      </w:r>
    </w:p>
    <w:p w14:paraId="14DFFB48" w14:textId="6004CEB9" w:rsidR="00B40789" w:rsidRPr="0052121A" w:rsidRDefault="00B40789" w:rsidP="00B40789">
      <w:r w:rsidRPr="0052121A">
        <w:rPr>
          <w:b/>
          <w:bCs/>
          <w:noProof/>
        </w:rPr>
        <mc:AlternateContent>
          <mc:Choice Requires="wps">
            <w:drawing>
              <wp:anchor distT="45720" distB="45720" distL="114300" distR="114300" simplePos="0" relativeHeight="251666432" behindDoc="0" locked="0" layoutInCell="1" allowOverlap="1" wp14:anchorId="337B6813" wp14:editId="205464B7">
                <wp:simplePos x="0" y="0"/>
                <wp:positionH relativeFrom="margin">
                  <wp:posOffset>0</wp:posOffset>
                </wp:positionH>
                <wp:positionV relativeFrom="paragraph">
                  <wp:posOffset>330835</wp:posOffset>
                </wp:positionV>
                <wp:extent cx="5776595" cy="1404620"/>
                <wp:effectExtent l="0" t="0" r="1460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6595" cy="1404620"/>
                        </a:xfrm>
                        <a:prstGeom prst="rect">
                          <a:avLst/>
                        </a:prstGeom>
                        <a:solidFill>
                          <a:srgbClr val="FFFFFF"/>
                        </a:solidFill>
                        <a:ln w="9525">
                          <a:solidFill>
                            <a:srgbClr val="000000"/>
                          </a:solidFill>
                          <a:miter lim="800000"/>
                          <a:headEnd/>
                          <a:tailEnd/>
                        </a:ln>
                      </wps:spPr>
                      <wps:txbx>
                        <w:txbxContent>
                          <w:p w14:paraId="6D71C148" w14:textId="77777777" w:rsidR="00B40789" w:rsidRDefault="00B40789" w:rsidP="00B40789">
                            <w:r>
                              <w:t>DCM-EPIC compared the clinical and cost-effectiveness of an intervention to improve the uptake of person-centred care (Dementia Care Mapping, DCM) plus usual care to usual care alone for people living with dementia in UK care homes. The intervention was targeted at the care home as a whole, but the primary outcome (agitation) was assessed in residents with dementia, 16 months following care home randomisation. Initially, a closed cohort PG-CRT design was adopted, with residents with dementia registered prior to cluster randomisation (baseline) and followed up at 6- and 16-months following cluster randomisation. However, unavoidably high loss to follow-up due to resident death or movement out of the care home, led to a design change to additionally include those residents with dementia at 16-months following randomisation not included at baseline. This allowed us to consider the open population of people living with dementia in UK care homes from baseline to final follow-up, who were exposed to the care home level intervention. There was substantial overlap in the residents included at baseline and final follow-up, distinguishing this open cohort PG-CRT design from a repeated cross-sectional PG-CRT design. Although linkage of some data over time within residents would have been possible, this was not done in the primary analysis.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7B6813" id="_x0000_t202" coordsize="21600,21600" o:spt="202" path="m,l,21600r21600,l21600,xe">
                <v:stroke joinstyle="miter"/>
                <v:path gradientshapeok="t" o:connecttype="rect"/>
              </v:shapetype>
              <v:shape id="Text Box 2" o:spid="_x0000_s1026" type="#_x0000_t202" style="position:absolute;margin-left:0;margin-top:26.05pt;width:454.8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">
                <v:textbox style="mso-fit-shape-to-text:t">
                  <w:txbxContent>
                    <w:p w14:paraId="6D71C148" w14:textId="77777777" w:rsidR="00B40789" w:rsidRDefault="00B40789" w:rsidP="00B40789">
                      <w:r>
                        <w:t>DCM-EPIC compared the clinical and cost-effectiveness of an intervention to improve the uptake of person-centred care (Dementia Care Mapping, DCM) plus usual care to usual care alone for people living with dementia in UK care homes. The intervention was targeted at the care home as a whole, but the primary outcome (agitation) was assessed in residents with dementia, 16 months following care home randomisation. Initially, a closed cohort PG-CRT design was adopted, with residents with dementia registered prior to cluster randomisation (baseline) and followed up at 6- and 16-months following cluster randomisation. However, unavoidably high loss to follow-up due to resident death or movement out of the care home, led to a design change to additionally include those residents with dementia at 16-months following randomisation not included at baseline. This allowed us to consider the open population of people living with dementia in UK care homes from baseline to final follow-up, who were exposed to the care home level intervention. There was substantial overlap in the residents included at baseline and final follow-up, distinguishing this open cohort PG-CRT design from a repeated cross-sectional PG-CRT design. Although linkage of some data over time within residents would have been possible, this was not done in the primary analysis.</w:t>
                      </w:r>
                    </w:p>
                  </w:txbxContent>
                </v:textbox>
                <w10:wrap type="square" anchorx="margin"/>
              </v:shape>
            </w:pict>
          </mc:Fallback>
        </mc:AlternateContent>
      </w:r>
    </w:p>
    <w:p w14:paraId="6FB7AE34" w14:textId="77777777" w:rsidR="00B40789" w:rsidRPr="0052121A" w:rsidRDefault="00B40789" w:rsidP="00B40789">
      <w:pPr>
        <w:rPr>
          <w:b/>
          <w:bCs/>
        </w:rPr>
      </w:pPr>
      <w:r w:rsidRPr="0052121A">
        <w:rPr>
          <w:b/>
          <w:bCs/>
        </w:rPr>
        <w:br w:type="page"/>
      </w:r>
    </w:p>
    <w:p w14:paraId="74A2F1CE" w14:textId="77777777" w:rsidR="00B40789" w:rsidRPr="0052121A" w:rsidRDefault="00B40789" w:rsidP="00B40789">
      <w:pPr>
        <w:spacing w:after="0" w:line="360" w:lineRule="auto"/>
        <w:rPr>
          <w:b/>
          <w:bCs/>
        </w:rPr>
      </w:pPr>
      <w:r w:rsidRPr="0052121A">
        <w:rPr>
          <w:noProof/>
        </w:rPr>
        <w:lastRenderedPageBreak/>
        <mc:AlternateContent>
          <mc:Choice Requires="wps">
            <w:drawing>
              <wp:anchor distT="45720" distB="45720" distL="114300" distR="114300" simplePos="0" relativeHeight="251659264" behindDoc="0" locked="0" layoutInCell="1" allowOverlap="1" wp14:anchorId="41976557" wp14:editId="68179EEF">
                <wp:simplePos x="0" y="0"/>
                <wp:positionH relativeFrom="margin">
                  <wp:align>left</wp:align>
                </wp:positionH>
                <wp:positionV relativeFrom="paragraph">
                  <wp:posOffset>258445</wp:posOffset>
                </wp:positionV>
                <wp:extent cx="5763895" cy="1404620"/>
                <wp:effectExtent l="0" t="0" r="27305" b="21590"/>
                <wp:wrapSquare wrapText="bothSides"/>
                <wp:docPr id="772425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1404620"/>
                        </a:xfrm>
                        <a:prstGeom prst="rect">
                          <a:avLst/>
                        </a:prstGeom>
                        <a:solidFill>
                          <a:srgbClr val="FFFFFF"/>
                        </a:solidFill>
                        <a:ln w="9525">
                          <a:solidFill>
                            <a:srgbClr val="000000"/>
                          </a:solidFill>
                          <a:miter lim="800000"/>
                          <a:headEnd/>
                          <a:tailEnd/>
                        </a:ln>
                      </wps:spPr>
                      <wps:txbx>
                        <w:txbxContent>
                          <w:p w14:paraId="1CE8C439" w14:textId="77777777" w:rsidR="00B40789" w:rsidRDefault="00B40789" w:rsidP="00B40789">
                            <w:r w:rsidRPr="009968AB">
                              <w:rPr>
                                <w:color w:val="000000" w:themeColor="text1"/>
                              </w:rPr>
                              <w:t xml:space="preserve">FinCH was a </w:t>
                            </w:r>
                            <w:r>
                              <w:rPr>
                                <w:color w:val="000000" w:themeColor="text1"/>
                              </w:rPr>
                              <w:t>PG-</w:t>
                            </w:r>
                            <w:r w:rsidRPr="009968AB">
                              <w:rPr>
                                <w:color w:val="000000" w:themeColor="text1"/>
                              </w:rPr>
                              <w:t>CRT in care homes assessing effectiveness of a fall prevention programme</w:t>
                            </w:r>
                            <w:r>
                              <w:rPr>
                                <w:color w:val="000000" w:themeColor="text1"/>
                              </w:rPr>
                              <w:t xml:space="preserve"> [22]</w:t>
                            </w:r>
                            <w:r w:rsidRPr="009968AB">
                              <w:rPr>
                                <w:color w:val="000000" w:themeColor="text1"/>
                              </w:rPr>
                              <w:t>.</w:t>
                            </w:r>
                            <w:r w:rsidRPr="00161AAC">
                              <w:rPr>
                                <w:color w:val="000000" w:themeColor="text1"/>
                              </w:rPr>
                              <w:t xml:space="preserve"> </w:t>
                            </w:r>
                            <w:r w:rsidRPr="009968AB">
                              <w:rPr>
                                <w:color w:val="000000" w:themeColor="text1"/>
                              </w:rPr>
                              <w:t>All eligible participants were identified and recruited before cluster-randomisation (1a, 4a).</w:t>
                            </w:r>
                            <w:r>
                              <w:rPr>
                                <w:color w:val="000000" w:themeColor="text1"/>
                              </w:rPr>
                              <w:t xml:space="preserve"> </w:t>
                            </w:r>
                            <w:r w:rsidRPr="009968AB">
                              <w:rPr>
                                <w:color w:val="000000" w:themeColor="text1"/>
                              </w:rPr>
                              <w:t xml:space="preserve">Participants were assessed for the primary outcome </w:t>
                            </w:r>
                            <w:r>
                              <w:rPr>
                                <w:color w:val="000000" w:themeColor="text1"/>
                              </w:rPr>
                              <w:t>3 to 6</w:t>
                            </w:r>
                            <w:r w:rsidRPr="009968AB">
                              <w:rPr>
                                <w:color w:val="000000" w:themeColor="text1"/>
                              </w:rPr>
                              <w:t xml:space="preserve"> months </w:t>
                            </w:r>
                            <w:r>
                              <w:rPr>
                                <w:color w:val="000000" w:themeColor="text1"/>
                              </w:rPr>
                              <w:t>following cluster-</w:t>
                            </w:r>
                            <w:r w:rsidRPr="009968AB">
                              <w:rPr>
                                <w:color w:val="000000" w:themeColor="text1"/>
                              </w:rPr>
                              <w:t>randomisation (2a, 3c).</w:t>
                            </w:r>
                            <w:r>
                              <w:t xml:space="preserve"> </w:t>
                            </w:r>
                            <w:r w:rsidRPr="009968AB">
                              <w:rPr>
                                <w:color w:val="000000" w:themeColor="text1"/>
                              </w:rPr>
                              <w:t xml:space="preserve">The </w:t>
                            </w:r>
                            <w:r>
                              <w:rPr>
                                <w:color w:val="000000" w:themeColor="text1"/>
                              </w:rPr>
                              <w:t>i</w:t>
                            </w:r>
                            <w:r w:rsidRPr="009968AB">
                              <w:rPr>
                                <w:color w:val="000000" w:themeColor="text1"/>
                              </w:rPr>
                              <w:t>ntervention was a</w:t>
                            </w:r>
                            <w:r>
                              <w:rPr>
                                <w:color w:val="000000" w:themeColor="text1"/>
                              </w:rPr>
                              <w:t>t a</w:t>
                            </w:r>
                            <w:r w:rsidRPr="009968AB">
                              <w:rPr>
                                <w:color w:val="000000" w:themeColor="text1"/>
                              </w:rPr>
                              <w:t xml:space="preserve"> cluster-level (7a)</w:t>
                            </w:r>
                            <w:r>
                              <w:rPr>
                                <w:color w:val="000000" w:themeColor="text1"/>
                              </w:rPr>
                              <w:t xml:space="preserve"> and</w:t>
                            </w:r>
                            <w:r w:rsidRPr="009968AB">
                              <w:rPr>
                                <w:color w:val="000000" w:themeColor="text1"/>
                              </w:rPr>
                              <w:t xml:space="preserve"> included training of care home staff, provision of manuals and a poster displayed in care homes. All participants were exposed to th</w:t>
                            </w:r>
                            <w:r>
                              <w:rPr>
                                <w:color w:val="000000" w:themeColor="text1"/>
                              </w:rPr>
                              <w:t>e</w:t>
                            </w:r>
                            <w:r w:rsidRPr="009968AB">
                              <w:rPr>
                                <w:color w:val="000000" w:themeColor="text1"/>
                              </w:rPr>
                              <w:t xml:space="preserve"> intervention at</w:t>
                            </w:r>
                            <w:r>
                              <w:rPr>
                                <w:color w:val="000000" w:themeColor="text1"/>
                              </w:rPr>
                              <w:t xml:space="preserve"> </w:t>
                            </w:r>
                            <w:r w:rsidRPr="009968AB">
                              <w:rPr>
                                <w:color w:val="000000" w:themeColor="text1"/>
                              </w:rPr>
                              <w:t xml:space="preserve">the same time following cluster-randomisation (5a) through to the end of the </w:t>
                            </w:r>
                            <w:r>
                              <w:rPr>
                                <w:color w:val="000000" w:themeColor="text1"/>
                              </w:rPr>
                              <w:t xml:space="preserve">trial </w:t>
                            </w:r>
                            <w:r w:rsidRPr="009968AB">
                              <w:rPr>
                                <w:color w:val="000000" w:themeColor="text1"/>
                              </w:rPr>
                              <w:t xml:space="preserve">data collection period (6a). </w:t>
                            </w:r>
                            <w:r>
                              <w:rPr>
                                <w:color w:val="000000" w:themeColor="text1"/>
                              </w:rPr>
                              <w:t>Although</w:t>
                            </w:r>
                            <w:r w:rsidRPr="009968AB">
                              <w:rPr>
                                <w:color w:val="000000" w:themeColor="text1"/>
                              </w:rPr>
                              <w:t xml:space="preserve"> provision of manuals and posters were stable interventions (8a, 9a), staff training was</w:t>
                            </w:r>
                            <w:r>
                              <w:rPr>
                                <w:color w:val="000000" w:themeColor="text1"/>
                              </w:rPr>
                              <w:t xml:space="preserve"> not</w:t>
                            </w:r>
                            <w:r w:rsidRPr="009968AB">
                              <w:rPr>
                                <w:color w:val="000000" w:themeColor="text1"/>
                              </w:rPr>
                              <w:t xml:space="preserve">. </w:t>
                            </w:r>
                            <w:r>
                              <w:rPr>
                                <w:color w:val="000000" w:themeColor="text1"/>
                              </w:rPr>
                              <w:t>S</w:t>
                            </w:r>
                            <w:r w:rsidRPr="009968AB">
                              <w:rPr>
                                <w:color w:val="000000" w:themeColor="text1"/>
                              </w:rPr>
                              <w:t xml:space="preserve">taff training had an embedding period of </w:t>
                            </w:r>
                            <w:r>
                              <w:rPr>
                                <w:color w:val="000000" w:themeColor="text1"/>
                              </w:rPr>
                              <w:t>3</w:t>
                            </w:r>
                            <w:r w:rsidRPr="009968AB">
                              <w:rPr>
                                <w:color w:val="000000" w:themeColor="text1"/>
                              </w:rPr>
                              <w:t xml:space="preserve"> months before outcomes were assessed (8b)</w:t>
                            </w:r>
                            <w:r>
                              <w:rPr>
                                <w:color w:val="000000" w:themeColor="text1"/>
                              </w:rPr>
                              <w:t>;</w:t>
                            </w:r>
                            <w:r w:rsidRPr="009968AB">
                              <w:rPr>
                                <w:color w:val="000000" w:themeColor="text1"/>
                              </w:rPr>
                              <w:t xml:space="preserve"> refresher training was provided to counteract </w:t>
                            </w:r>
                            <w:r>
                              <w:rPr>
                                <w:color w:val="000000" w:themeColor="text1"/>
                              </w:rPr>
                              <w:t>drift</w:t>
                            </w:r>
                            <w:r w:rsidRPr="009968AB">
                              <w:rPr>
                                <w:color w:val="000000" w:themeColor="text1"/>
                              </w:rPr>
                              <w:t xml:space="preserve"> (9b). No information on the timing of intervention delivery and measurement across clusters was </w:t>
                            </w:r>
                            <w:r>
                              <w:rPr>
                                <w:color w:val="000000" w:themeColor="text1"/>
                              </w:rPr>
                              <w:t>provided</w:t>
                            </w:r>
                            <w:r w:rsidRPr="009968AB">
                              <w:rPr>
                                <w:color w:val="000000" w:themeColor="text1"/>
                              </w:rPr>
                              <w:t xml:space="preserve">. All participants were present </w:t>
                            </w:r>
                            <w:r>
                              <w:rPr>
                                <w:color w:val="000000" w:themeColor="text1"/>
                              </w:rPr>
                              <w:t xml:space="preserve">in the cluster </w:t>
                            </w:r>
                            <w:r w:rsidRPr="009968AB">
                              <w:rPr>
                                <w:color w:val="000000" w:themeColor="text1"/>
                              </w:rPr>
                              <w:t>before cluster-randomisation (11b/c).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976557" id="_x0000_s1027" type="#_x0000_t202" style="position:absolute;margin-left:0;margin-top:20.35pt;width:453.8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">
                <v:textbox style="mso-fit-shape-to-text:t">
                  <w:txbxContent>
                    <w:p w14:paraId="1CE8C439" w14:textId="77777777" w:rsidR="00B40789" w:rsidRDefault="00B40789" w:rsidP="00B40789">
                      <w:r w:rsidRPr="009968AB">
                        <w:rPr>
                          <w:color w:val="000000" w:themeColor="text1"/>
                        </w:rPr>
                        <w:t xml:space="preserve">FinCH was a </w:t>
                      </w:r>
                      <w:r>
                        <w:rPr>
                          <w:color w:val="000000" w:themeColor="text1"/>
                        </w:rPr>
                        <w:t>PG-</w:t>
                      </w:r>
                      <w:r w:rsidRPr="009968AB">
                        <w:rPr>
                          <w:color w:val="000000" w:themeColor="text1"/>
                        </w:rPr>
                        <w:t>CRT in care homes assessing effectiveness of a fall prevention programme</w:t>
                      </w:r>
                      <w:r>
                        <w:rPr>
                          <w:color w:val="000000" w:themeColor="text1"/>
                        </w:rPr>
                        <w:t xml:space="preserve"> [22]</w:t>
                      </w:r>
                      <w:r w:rsidRPr="009968AB">
                        <w:rPr>
                          <w:color w:val="000000" w:themeColor="text1"/>
                        </w:rPr>
                        <w:t>.</w:t>
                      </w:r>
                      <w:r w:rsidRPr="00161AAC">
                        <w:rPr>
                          <w:color w:val="000000" w:themeColor="text1"/>
                        </w:rPr>
                        <w:t xml:space="preserve"> </w:t>
                      </w:r>
                      <w:r w:rsidRPr="009968AB">
                        <w:rPr>
                          <w:color w:val="000000" w:themeColor="text1"/>
                        </w:rPr>
                        <w:t>All eligible participants were identified and recruited before cluster-randomisation (1a, 4a).</w:t>
                      </w:r>
                      <w:r>
                        <w:rPr>
                          <w:color w:val="000000" w:themeColor="text1"/>
                        </w:rPr>
                        <w:t xml:space="preserve"> </w:t>
                      </w:r>
                      <w:r w:rsidRPr="009968AB">
                        <w:rPr>
                          <w:color w:val="000000" w:themeColor="text1"/>
                        </w:rPr>
                        <w:t xml:space="preserve">Participants were assessed for the primary outcome </w:t>
                      </w:r>
                      <w:r>
                        <w:rPr>
                          <w:color w:val="000000" w:themeColor="text1"/>
                        </w:rPr>
                        <w:t>3 to 6</w:t>
                      </w:r>
                      <w:r w:rsidRPr="009968AB">
                        <w:rPr>
                          <w:color w:val="000000" w:themeColor="text1"/>
                        </w:rPr>
                        <w:t xml:space="preserve"> months </w:t>
                      </w:r>
                      <w:r>
                        <w:rPr>
                          <w:color w:val="000000" w:themeColor="text1"/>
                        </w:rPr>
                        <w:t>following cluster-</w:t>
                      </w:r>
                      <w:r w:rsidRPr="009968AB">
                        <w:rPr>
                          <w:color w:val="000000" w:themeColor="text1"/>
                        </w:rPr>
                        <w:t>randomisation (2a, 3c).</w:t>
                      </w:r>
                      <w:r>
                        <w:t xml:space="preserve"> </w:t>
                      </w:r>
                      <w:r w:rsidRPr="009968AB">
                        <w:rPr>
                          <w:color w:val="000000" w:themeColor="text1"/>
                        </w:rPr>
                        <w:t xml:space="preserve">The </w:t>
                      </w:r>
                      <w:r>
                        <w:rPr>
                          <w:color w:val="000000" w:themeColor="text1"/>
                        </w:rPr>
                        <w:t>i</w:t>
                      </w:r>
                      <w:r w:rsidRPr="009968AB">
                        <w:rPr>
                          <w:color w:val="000000" w:themeColor="text1"/>
                        </w:rPr>
                        <w:t>ntervention was a</w:t>
                      </w:r>
                      <w:r>
                        <w:rPr>
                          <w:color w:val="000000" w:themeColor="text1"/>
                        </w:rPr>
                        <w:t>t a</w:t>
                      </w:r>
                      <w:r w:rsidRPr="009968AB">
                        <w:rPr>
                          <w:color w:val="000000" w:themeColor="text1"/>
                        </w:rPr>
                        <w:t xml:space="preserve"> cluster-level (7a)</w:t>
                      </w:r>
                      <w:r>
                        <w:rPr>
                          <w:color w:val="000000" w:themeColor="text1"/>
                        </w:rPr>
                        <w:t xml:space="preserve"> and</w:t>
                      </w:r>
                      <w:r w:rsidRPr="009968AB">
                        <w:rPr>
                          <w:color w:val="000000" w:themeColor="text1"/>
                        </w:rPr>
                        <w:t xml:space="preserve"> included training of care home staff, provision of manuals and a poster displayed in care homes. All participants were exposed to th</w:t>
                      </w:r>
                      <w:r>
                        <w:rPr>
                          <w:color w:val="000000" w:themeColor="text1"/>
                        </w:rPr>
                        <w:t>e</w:t>
                      </w:r>
                      <w:r w:rsidRPr="009968AB">
                        <w:rPr>
                          <w:color w:val="000000" w:themeColor="text1"/>
                        </w:rPr>
                        <w:t xml:space="preserve"> intervention at</w:t>
                      </w:r>
                      <w:r>
                        <w:rPr>
                          <w:color w:val="000000" w:themeColor="text1"/>
                        </w:rPr>
                        <w:t xml:space="preserve"> </w:t>
                      </w:r>
                      <w:r w:rsidRPr="009968AB">
                        <w:rPr>
                          <w:color w:val="000000" w:themeColor="text1"/>
                        </w:rPr>
                        <w:t xml:space="preserve">the same time following cluster-randomisation (5a) through to the end of the </w:t>
                      </w:r>
                      <w:r>
                        <w:rPr>
                          <w:color w:val="000000" w:themeColor="text1"/>
                        </w:rPr>
                        <w:t xml:space="preserve">trial </w:t>
                      </w:r>
                      <w:r w:rsidRPr="009968AB">
                        <w:rPr>
                          <w:color w:val="000000" w:themeColor="text1"/>
                        </w:rPr>
                        <w:t xml:space="preserve">data collection period (6a). </w:t>
                      </w:r>
                      <w:r>
                        <w:rPr>
                          <w:color w:val="000000" w:themeColor="text1"/>
                        </w:rPr>
                        <w:t>Although</w:t>
                      </w:r>
                      <w:r w:rsidRPr="009968AB">
                        <w:rPr>
                          <w:color w:val="000000" w:themeColor="text1"/>
                        </w:rPr>
                        <w:t xml:space="preserve"> provision of manuals and posters were stable interventions (8a, 9a), staff training was</w:t>
                      </w:r>
                      <w:r>
                        <w:rPr>
                          <w:color w:val="000000" w:themeColor="text1"/>
                        </w:rPr>
                        <w:t xml:space="preserve"> not</w:t>
                      </w:r>
                      <w:r w:rsidRPr="009968AB">
                        <w:rPr>
                          <w:color w:val="000000" w:themeColor="text1"/>
                        </w:rPr>
                        <w:t xml:space="preserve">. </w:t>
                      </w:r>
                      <w:r>
                        <w:rPr>
                          <w:color w:val="000000" w:themeColor="text1"/>
                        </w:rPr>
                        <w:t>S</w:t>
                      </w:r>
                      <w:r w:rsidRPr="009968AB">
                        <w:rPr>
                          <w:color w:val="000000" w:themeColor="text1"/>
                        </w:rPr>
                        <w:t xml:space="preserve">taff training had an embedding period of </w:t>
                      </w:r>
                      <w:r>
                        <w:rPr>
                          <w:color w:val="000000" w:themeColor="text1"/>
                        </w:rPr>
                        <w:t>3</w:t>
                      </w:r>
                      <w:r w:rsidRPr="009968AB">
                        <w:rPr>
                          <w:color w:val="000000" w:themeColor="text1"/>
                        </w:rPr>
                        <w:t xml:space="preserve"> months before outcomes were assessed (8b)</w:t>
                      </w:r>
                      <w:r>
                        <w:rPr>
                          <w:color w:val="000000" w:themeColor="text1"/>
                        </w:rPr>
                        <w:t>;</w:t>
                      </w:r>
                      <w:r w:rsidRPr="009968AB">
                        <w:rPr>
                          <w:color w:val="000000" w:themeColor="text1"/>
                        </w:rPr>
                        <w:t xml:space="preserve"> refresher training was provided to counteract </w:t>
                      </w:r>
                      <w:r>
                        <w:rPr>
                          <w:color w:val="000000" w:themeColor="text1"/>
                        </w:rPr>
                        <w:t>drift</w:t>
                      </w:r>
                      <w:r w:rsidRPr="009968AB">
                        <w:rPr>
                          <w:color w:val="000000" w:themeColor="text1"/>
                        </w:rPr>
                        <w:t xml:space="preserve"> (9b). No information on the timing of intervention delivery and measurement across clusters was </w:t>
                      </w:r>
                      <w:r>
                        <w:rPr>
                          <w:color w:val="000000" w:themeColor="text1"/>
                        </w:rPr>
                        <w:t>provided</w:t>
                      </w:r>
                      <w:r w:rsidRPr="009968AB">
                        <w:rPr>
                          <w:color w:val="000000" w:themeColor="text1"/>
                        </w:rPr>
                        <w:t xml:space="preserve">. All participants were present </w:t>
                      </w:r>
                      <w:r>
                        <w:rPr>
                          <w:color w:val="000000" w:themeColor="text1"/>
                        </w:rPr>
                        <w:t xml:space="preserve">in the cluster </w:t>
                      </w:r>
                      <w:r w:rsidRPr="009968AB">
                        <w:rPr>
                          <w:color w:val="000000" w:themeColor="text1"/>
                        </w:rPr>
                        <w:t>before cluster-randomisation (11b/c).</w:t>
                      </w:r>
                    </w:p>
                  </w:txbxContent>
                </v:textbox>
                <w10:wrap type="square" anchorx="margin"/>
              </v:shape>
            </w:pict>
          </mc:Fallback>
        </mc:AlternateContent>
      </w:r>
      <w:r w:rsidRPr="0052121A">
        <w:rPr>
          <w:b/>
          <w:bCs/>
        </w:rPr>
        <w:t xml:space="preserve">Box 2 – </w:t>
      </w:r>
      <w:r w:rsidRPr="0052121A">
        <w:rPr>
          <w:b/>
          <w:bCs/>
          <w:u w:val="single"/>
        </w:rPr>
        <w:t>F</w:t>
      </w:r>
      <w:r w:rsidRPr="0052121A">
        <w:rPr>
          <w:b/>
          <w:bCs/>
        </w:rPr>
        <w:t xml:space="preserve">alls in </w:t>
      </w:r>
      <w:r w:rsidRPr="0052121A">
        <w:rPr>
          <w:b/>
          <w:bCs/>
          <w:u w:val="single"/>
        </w:rPr>
        <w:t>C</w:t>
      </w:r>
      <w:r w:rsidRPr="0052121A">
        <w:rPr>
          <w:b/>
          <w:bCs/>
        </w:rPr>
        <w:t xml:space="preserve">are </w:t>
      </w:r>
      <w:r w:rsidRPr="0052121A">
        <w:rPr>
          <w:b/>
          <w:bCs/>
          <w:u w:val="single"/>
        </w:rPr>
        <w:t>H</w:t>
      </w:r>
      <w:r w:rsidRPr="0052121A">
        <w:rPr>
          <w:b/>
          <w:bCs/>
        </w:rPr>
        <w:t>omes (FinCH)</w:t>
      </w:r>
    </w:p>
    <w:p w14:paraId="2A2361DA" w14:textId="77777777" w:rsidR="00B40789" w:rsidRPr="0052121A" w:rsidRDefault="00B40789" w:rsidP="00B40789"/>
    <w:p w14:paraId="2A6D9EF8" w14:textId="77777777" w:rsidR="00B40789" w:rsidRPr="0052121A" w:rsidRDefault="00B40789" w:rsidP="00B40789">
      <w:pPr>
        <w:rPr>
          <w:b/>
          <w:bCs/>
        </w:rPr>
      </w:pPr>
      <w:r w:rsidRPr="0052121A">
        <w:rPr>
          <w:b/>
          <w:bCs/>
        </w:rPr>
        <w:br w:type="page"/>
      </w:r>
    </w:p>
    <w:p w14:paraId="4A786177" w14:textId="77777777" w:rsidR="00B40789" w:rsidRPr="0052121A" w:rsidRDefault="00B40789" w:rsidP="00B40789">
      <w:pPr>
        <w:spacing w:after="0" w:line="360" w:lineRule="auto"/>
        <w:rPr>
          <w:b/>
          <w:bCs/>
        </w:rPr>
      </w:pPr>
      <w:r w:rsidRPr="0052121A">
        <w:rPr>
          <w:b/>
          <w:bCs/>
          <w:noProof/>
        </w:rPr>
        <w:lastRenderedPageBreak/>
        <mc:AlternateContent>
          <mc:Choice Requires="wps">
            <w:drawing>
              <wp:anchor distT="45720" distB="45720" distL="114300" distR="114300" simplePos="0" relativeHeight="251660288" behindDoc="0" locked="0" layoutInCell="1" allowOverlap="1" wp14:anchorId="6D3918FA" wp14:editId="42802D13">
                <wp:simplePos x="0" y="0"/>
                <wp:positionH relativeFrom="margin">
                  <wp:align>left</wp:align>
                </wp:positionH>
                <wp:positionV relativeFrom="paragraph">
                  <wp:posOffset>538412</wp:posOffset>
                </wp:positionV>
                <wp:extent cx="5745480" cy="3274541"/>
                <wp:effectExtent l="0" t="0" r="26670" b="21590"/>
                <wp:wrapSquare wrapText="bothSides"/>
                <wp:docPr id="1786089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3274541"/>
                        </a:xfrm>
                        <a:prstGeom prst="rect">
                          <a:avLst/>
                        </a:prstGeom>
                        <a:solidFill>
                          <a:srgbClr val="FFFFFF"/>
                        </a:solidFill>
                        <a:ln w="9525">
                          <a:solidFill>
                            <a:srgbClr val="000000"/>
                          </a:solidFill>
                          <a:miter lim="800000"/>
                          <a:headEnd/>
                          <a:tailEnd/>
                        </a:ln>
                      </wps:spPr>
                      <wps:txbx>
                        <w:txbxContent>
                          <w:p w14:paraId="6501725E" w14:textId="77777777" w:rsidR="00B40789" w:rsidRDefault="00B40789" w:rsidP="00B40789">
                            <w:r>
                              <w:t>AFFINITIE was a programme of factorial CRTs in secondary care assessing the effectiveness of two feedback interventions (audit report and support) in a national comparative audit [23]. In both trials, clusters were the transfusion practitioners in NHS trusts. Due to the audit topic, which was elective surgery, participants at baseline and follow-up were unlikely to overlap, so some eligible trial participants were identified before cluster randomisation and some not (1c). The primary outcome was assessed at 12 months following cluster-randomisation (2a). As audit data was anonymised, it was not possible to link any repeated measurements from a participant (3b). Interventions targeted staff at a cluster-level (7a). Participants became eligible in discrete windows at baseline and 12 months following cluster-randomisation (4a). Trial participants at baseline were first exposed following cluster randomisation, while those at 12 months were exposed when they are admitted to hospital (5e). As participants were exposed during their hospital stay, exposure duration across participants was variable (6b). No embedding period was implemented so cluster-level learning might have occurred (8c). There was only one round of audit and feedback so drift might have occurred (9c). Audit reports were delivered at the same calendar time for all clusters, with support available from randomisation (10a). At 12 months trial participants were unlikely to have been present in the hospital before cluster randomisation (11a).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918FA" id="_x0000_s1028" type="#_x0000_t202" style="position:absolute;margin-left:0;margin-top:42.4pt;width:452.4pt;height:257.8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FEEgIAACc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">
                <v:textbox>
                  <w:txbxContent>
                    <w:p w14:paraId="6501725E" w14:textId="77777777" w:rsidR="00B40789" w:rsidRDefault="00B40789" w:rsidP="00B40789">
                      <w:r>
                        <w:t>AFFINITIE was a programme of factorial CRTs in secondary care assessing the effectiveness of two feedback interventions (audit report and support) in a national comparative audit [23]. In both trials, clusters were the transfusion practitioners in NHS trusts. Due to the audit topic, which was elective surgery, participants at baseline and follow-up were unlikely to overlap, so some eligible trial participants were identified before cluster randomisation and some not (1c). The primary outcome was assessed at 12 months following cluster-randomisation (2a). As audit data was anonymised, it was not possible to link any repeated measurements from a participant (3b). Interventions targeted staff at a cluster-level (7a). Participants became eligible in discrete windows at baseline and 12 months following cluster-randomisation (4a). Trial participants at baseline were first exposed following cluster randomisation, while those at 12 months were exposed when they are admitted to hospital (5e). As participants were exposed during their hospital stay, exposure duration across participants was variable (6b). No embedding period was implemented so cluster-level learning might have occurred (8c). There was only one round of audit and feedback so drift might have occurred (9c). Audit reports were delivered at the same calendar time for all clusters, with support available from randomisation (10a). At 12 months trial participants were unlikely to have been present in the hospital before cluster randomisation (11a).</w:t>
                      </w:r>
                    </w:p>
                  </w:txbxContent>
                </v:textbox>
                <w10:wrap type="square" anchorx="margin"/>
              </v:shape>
            </w:pict>
          </mc:Fallback>
        </mc:AlternateContent>
      </w:r>
      <w:r w:rsidRPr="0052121A">
        <w:rPr>
          <w:b/>
          <w:bCs/>
        </w:rPr>
        <w:t xml:space="preserve">Box 3 – </w:t>
      </w:r>
      <w:r w:rsidRPr="0052121A">
        <w:rPr>
          <w:b/>
          <w:bCs/>
          <w:u w:val="single"/>
        </w:rPr>
        <w:t>A</w:t>
      </w:r>
      <w:r w:rsidRPr="0052121A">
        <w:rPr>
          <w:b/>
          <w:bCs/>
        </w:rPr>
        <w:t xml:space="preserve">udit and </w:t>
      </w:r>
      <w:r w:rsidRPr="0052121A">
        <w:rPr>
          <w:b/>
          <w:bCs/>
          <w:u w:val="single"/>
        </w:rPr>
        <w:t>F</w:t>
      </w:r>
      <w:r w:rsidRPr="0052121A">
        <w:rPr>
          <w:b/>
          <w:bCs/>
        </w:rPr>
        <w:t xml:space="preserve">eedback </w:t>
      </w:r>
      <w:r w:rsidRPr="0052121A">
        <w:rPr>
          <w:b/>
          <w:bCs/>
          <w:u w:val="single"/>
        </w:rPr>
        <w:t>IN</w:t>
      </w:r>
      <w:r w:rsidRPr="0052121A">
        <w:rPr>
          <w:b/>
          <w:bCs/>
        </w:rPr>
        <w:t xml:space="preserve">terventions to </w:t>
      </w:r>
      <w:r w:rsidRPr="0052121A">
        <w:rPr>
          <w:b/>
          <w:bCs/>
          <w:u w:val="single"/>
        </w:rPr>
        <w:t>I</w:t>
      </w:r>
      <w:r w:rsidRPr="0052121A">
        <w:rPr>
          <w:b/>
          <w:bCs/>
        </w:rPr>
        <w:t xml:space="preserve">ncrease evidence-based </w:t>
      </w:r>
      <w:r w:rsidRPr="0052121A">
        <w:rPr>
          <w:b/>
          <w:bCs/>
          <w:u w:val="single"/>
        </w:rPr>
        <w:t>T</w:t>
      </w:r>
      <w:r w:rsidRPr="0052121A">
        <w:rPr>
          <w:b/>
          <w:bCs/>
        </w:rPr>
        <w:t>ransfusion pract</w:t>
      </w:r>
      <w:r w:rsidRPr="0052121A">
        <w:rPr>
          <w:b/>
          <w:bCs/>
          <w:u w:val="single"/>
        </w:rPr>
        <w:t>I</w:t>
      </w:r>
      <w:r w:rsidRPr="0052121A">
        <w:rPr>
          <w:b/>
          <w:bCs/>
        </w:rPr>
        <w:t>c</w:t>
      </w:r>
      <w:r w:rsidRPr="0052121A">
        <w:rPr>
          <w:b/>
          <w:bCs/>
          <w:u w:val="single"/>
        </w:rPr>
        <w:t>E</w:t>
      </w:r>
      <w:r w:rsidRPr="0052121A">
        <w:rPr>
          <w:b/>
          <w:bCs/>
        </w:rPr>
        <w:t xml:space="preserve"> (AFFINITIE)</w:t>
      </w:r>
    </w:p>
    <w:p w14:paraId="073FF61D" w14:textId="77777777" w:rsidR="00B40789" w:rsidRPr="0052121A" w:rsidRDefault="00B40789" w:rsidP="00B40789">
      <w:pPr>
        <w:spacing w:after="0" w:line="360" w:lineRule="auto"/>
        <w:rPr>
          <w:b/>
          <w:bCs/>
        </w:rPr>
      </w:pPr>
    </w:p>
    <w:p w14:paraId="3BD16EE2" w14:textId="77777777" w:rsidR="00B40789" w:rsidRPr="0052121A" w:rsidRDefault="00B40789" w:rsidP="00B40789">
      <w:pPr>
        <w:rPr>
          <w:b/>
          <w:bCs/>
        </w:rPr>
      </w:pPr>
      <w:r w:rsidRPr="0052121A">
        <w:rPr>
          <w:b/>
          <w:bCs/>
        </w:rPr>
        <w:br w:type="page"/>
      </w:r>
    </w:p>
    <w:p w14:paraId="6C979E5A" w14:textId="77777777" w:rsidR="00B40789" w:rsidRPr="0052121A" w:rsidRDefault="00B40789" w:rsidP="00B40789">
      <w:pPr>
        <w:spacing w:after="0" w:line="360" w:lineRule="auto"/>
        <w:rPr>
          <w:b/>
          <w:bCs/>
        </w:rPr>
      </w:pPr>
      <w:r w:rsidRPr="0052121A">
        <w:rPr>
          <w:b/>
          <w:bCs/>
          <w:noProof/>
        </w:rPr>
        <w:lastRenderedPageBreak/>
        <mc:AlternateContent>
          <mc:Choice Requires="wps">
            <w:drawing>
              <wp:anchor distT="45720" distB="45720" distL="114300" distR="114300" simplePos="0" relativeHeight="251661312" behindDoc="0" locked="0" layoutInCell="1" allowOverlap="1" wp14:anchorId="4A4E0E4A" wp14:editId="2F87054D">
                <wp:simplePos x="0" y="0"/>
                <wp:positionH relativeFrom="margin">
                  <wp:align>right</wp:align>
                </wp:positionH>
                <wp:positionV relativeFrom="paragraph">
                  <wp:posOffset>578416</wp:posOffset>
                </wp:positionV>
                <wp:extent cx="5720715" cy="1404620"/>
                <wp:effectExtent l="0" t="0" r="13335" b="15875"/>
                <wp:wrapSquare wrapText="bothSides"/>
                <wp:docPr id="247438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178" cy="1404620"/>
                        </a:xfrm>
                        <a:prstGeom prst="rect">
                          <a:avLst/>
                        </a:prstGeom>
                        <a:solidFill>
                          <a:srgbClr val="FFFFFF"/>
                        </a:solidFill>
                        <a:ln w="9525">
                          <a:solidFill>
                            <a:srgbClr val="000000"/>
                          </a:solidFill>
                          <a:miter lim="800000"/>
                          <a:headEnd/>
                          <a:tailEnd/>
                        </a:ln>
                      </wps:spPr>
                      <wps:txbx>
                        <w:txbxContent>
                          <w:p w14:paraId="638810A3" w14:textId="77777777" w:rsidR="00B40789" w:rsidRDefault="00B40789" w:rsidP="00B40789">
                            <w:r>
                              <w:t>SEHER</w:t>
                            </w:r>
                            <w:r w:rsidRPr="009968AB">
                              <w:rPr>
                                <w:color w:val="000000" w:themeColor="text1"/>
                              </w:rPr>
                              <w:t xml:space="preserve"> was a </w:t>
                            </w:r>
                            <w:r>
                              <w:rPr>
                                <w:color w:val="000000" w:themeColor="text1"/>
                              </w:rPr>
                              <w:t>PG-</w:t>
                            </w:r>
                            <w:r w:rsidRPr="009968AB">
                              <w:rPr>
                                <w:color w:val="000000" w:themeColor="text1"/>
                              </w:rPr>
                              <w:t xml:space="preserve">CRT in </w:t>
                            </w:r>
                            <w:r>
                              <w:rPr>
                                <w:color w:val="000000" w:themeColor="text1"/>
                              </w:rPr>
                              <w:t>secondary school</w:t>
                            </w:r>
                            <w:r w:rsidRPr="009968AB">
                              <w:rPr>
                                <w:color w:val="000000" w:themeColor="text1"/>
                              </w:rPr>
                              <w:t xml:space="preserve">s assessing </w:t>
                            </w:r>
                            <w:r>
                              <w:rPr>
                                <w:color w:val="000000" w:themeColor="text1"/>
                              </w:rPr>
                              <w:t xml:space="preserve">the </w:t>
                            </w:r>
                            <w:r w:rsidRPr="009968AB">
                              <w:rPr>
                                <w:color w:val="000000" w:themeColor="text1"/>
                              </w:rPr>
                              <w:t xml:space="preserve">effectiveness </w:t>
                            </w:r>
                            <w:r>
                              <w:rPr>
                                <w:color w:val="000000" w:themeColor="text1"/>
                              </w:rPr>
                              <w:t xml:space="preserve">of </w:t>
                            </w:r>
                            <w:r>
                              <w:t>an intervention to improve school climate and health outcomes [24]. Students in school at baseline and follow-up (or both) were eligible, so some trial participants were identified before cluster randomisation and some not (1c). The primary outcome was assessed on students 8-months after cluster-randomisation (2a). Some students were in the school at both baseline and follow-up, so it was possible to link repeated measurements (3c). The intervention was multi-component, consisting of cluster and individual-level components (7a). Students were consented at baseline and follow-up in two discrete windows (4a). Students in school at baseline were exposed to the intervention following cluster-randomisation; students enrolling later were exposed when they joined the school but were not recruited until 8-months follow-up (5e). As such, there were variable exposure lengths across students (6d). Due to a pilot before the main trial, the intervention was already embedded to some degree (8b). Training and supervision of counsellors and teachers was provided throughout to counteract possible drift (9b). Information on the timing of intervention delivery and measurement across clusters was not reported. Some students were in school before cluster-randomisation, so their time-in-school before cluster-randomisation could affect trial outcomes (11b/c).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4E0E4A" id="_x0000_s1029" type="#_x0000_t202" style="position:absolute;margin-left:399.25pt;margin-top:45.55pt;width:450.4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">
                <v:textbox style="mso-fit-shape-to-text:t">
                  <w:txbxContent>
                    <w:p w14:paraId="638810A3" w14:textId="77777777" w:rsidR="00B40789" w:rsidRDefault="00B40789" w:rsidP="00B40789">
                      <w:r>
                        <w:t>SEHER</w:t>
                      </w:r>
                      <w:r w:rsidRPr="009968AB">
                        <w:rPr>
                          <w:color w:val="000000" w:themeColor="text1"/>
                        </w:rPr>
                        <w:t xml:space="preserve"> was a </w:t>
                      </w:r>
                      <w:r>
                        <w:rPr>
                          <w:color w:val="000000" w:themeColor="text1"/>
                        </w:rPr>
                        <w:t>PG-</w:t>
                      </w:r>
                      <w:r w:rsidRPr="009968AB">
                        <w:rPr>
                          <w:color w:val="000000" w:themeColor="text1"/>
                        </w:rPr>
                        <w:t xml:space="preserve">CRT in </w:t>
                      </w:r>
                      <w:r>
                        <w:rPr>
                          <w:color w:val="000000" w:themeColor="text1"/>
                        </w:rPr>
                        <w:t>secondary school</w:t>
                      </w:r>
                      <w:r w:rsidRPr="009968AB">
                        <w:rPr>
                          <w:color w:val="000000" w:themeColor="text1"/>
                        </w:rPr>
                        <w:t xml:space="preserve">s assessing </w:t>
                      </w:r>
                      <w:r>
                        <w:rPr>
                          <w:color w:val="000000" w:themeColor="text1"/>
                        </w:rPr>
                        <w:t xml:space="preserve">the </w:t>
                      </w:r>
                      <w:r w:rsidRPr="009968AB">
                        <w:rPr>
                          <w:color w:val="000000" w:themeColor="text1"/>
                        </w:rPr>
                        <w:t xml:space="preserve">effectiveness </w:t>
                      </w:r>
                      <w:r>
                        <w:rPr>
                          <w:color w:val="000000" w:themeColor="text1"/>
                        </w:rPr>
                        <w:t xml:space="preserve">of </w:t>
                      </w:r>
                      <w:r>
                        <w:t>an intervention to improve school climate and health outcomes [24]. Students in school at baseline and follow-up (or both) were eligible, so some trial participants were identified before cluster randomisation and some not (1c). The primary outcome was assessed on students 8-months after cluster-randomisation (2a). Some students were in the school at both baseline and follow-up, so it was possible to link repeated measurements (3c). The intervention was multi-component, consisting of cluster and individual-level components (7a). Students were consented at baseline and follow-up in two discrete windows (4a). Students in school at baseline were exposed to the intervention following cluster-randomisation; students enrolling later were exposed when they joined the school but were not recruited until 8-months follow-up (5e). As such, there were variable exposure lengths across students (6d). Due to a pilot before the main trial, the intervention was already embedded to some degree (8b). Training and supervision of counsellors and teachers was provided throughout to counteract possible drift (9b). Information on the timing of intervention delivery and measurement across clusters was not reported. Some students were in school before cluster-randomisation, so their time-in-school before cluster-randomisation could affect trial outcomes (11b/c).</w:t>
                      </w:r>
                    </w:p>
                  </w:txbxContent>
                </v:textbox>
                <w10:wrap type="square" anchorx="margin"/>
              </v:shape>
            </w:pict>
          </mc:Fallback>
        </mc:AlternateContent>
      </w:r>
      <w:r w:rsidRPr="0052121A">
        <w:rPr>
          <w:b/>
          <w:bCs/>
        </w:rPr>
        <w:t xml:space="preserve">Box 4 – </w:t>
      </w:r>
      <w:r w:rsidRPr="0052121A">
        <w:rPr>
          <w:b/>
          <w:bCs/>
          <w:u w:val="single"/>
        </w:rPr>
        <w:t>S</w:t>
      </w:r>
      <w:r w:rsidRPr="0052121A">
        <w:rPr>
          <w:b/>
          <w:bCs/>
        </w:rPr>
        <w:t xml:space="preserve">trengthening </w:t>
      </w:r>
      <w:r w:rsidRPr="0052121A">
        <w:rPr>
          <w:b/>
          <w:bCs/>
          <w:u w:val="single"/>
        </w:rPr>
        <w:t>E</w:t>
      </w:r>
      <w:r w:rsidRPr="0052121A">
        <w:rPr>
          <w:b/>
          <w:bCs/>
        </w:rPr>
        <w:t>vidence base on sc</w:t>
      </w:r>
      <w:r w:rsidRPr="0052121A">
        <w:rPr>
          <w:b/>
          <w:bCs/>
          <w:u w:val="single"/>
        </w:rPr>
        <w:t>H</w:t>
      </w:r>
      <w:r w:rsidRPr="0052121A">
        <w:rPr>
          <w:b/>
          <w:bCs/>
        </w:rPr>
        <w:t>ool-based int</w:t>
      </w:r>
      <w:r w:rsidRPr="0052121A">
        <w:rPr>
          <w:b/>
          <w:bCs/>
          <w:u w:val="single"/>
        </w:rPr>
        <w:t>E</w:t>
      </w:r>
      <w:r w:rsidRPr="0052121A">
        <w:rPr>
          <w:b/>
          <w:bCs/>
        </w:rPr>
        <w:t>rventions for p</w:t>
      </w:r>
      <w:r w:rsidRPr="0052121A">
        <w:rPr>
          <w:b/>
          <w:bCs/>
          <w:u w:val="single"/>
        </w:rPr>
        <w:t>R</w:t>
      </w:r>
      <w:r w:rsidRPr="0052121A">
        <w:rPr>
          <w:b/>
          <w:bCs/>
        </w:rPr>
        <w:t>omoting adolescent health (SEHER)</w:t>
      </w:r>
    </w:p>
    <w:p w14:paraId="0FA2E320" w14:textId="77777777" w:rsidR="00B40789" w:rsidRPr="0052121A" w:rsidRDefault="00B40789" w:rsidP="00B40789">
      <w:pPr>
        <w:spacing w:after="0" w:line="360" w:lineRule="auto"/>
        <w:rPr>
          <w:b/>
          <w:bCs/>
        </w:rPr>
      </w:pPr>
    </w:p>
    <w:p w14:paraId="76F002FC" w14:textId="77777777" w:rsidR="00B40789" w:rsidRPr="0052121A" w:rsidRDefault="00B40789" w:rsidP="00B40789">
      <w:pPr>
        <w:spacing w:after="0" w:line="360" w:lineRule="auto"/>
        <w:rPr>
          <w:b/>
          <w:bCs/>
        </w:rPr>
      </w:pPr>
    </w:p>
    <w:p w14:paraId="70AF7EDF" w14:textId="77777777" w:rsidR="00B40789" w:rsidRPr="0052121A" w:rsidRDefault="00B40789" w:rsidP="00B40789">
      <w:pPr>
        <w:spacing w:after="0" w:line="360" w:lineRule="auto"/>
        <w:rPr>
          <w:b/>
          <w:bCs/>
        </w:rPr>
      </w:pPr>
    </w:p>
    <w:p w14:paraId="17A31EA2" w14:textId="77777777" w:rsidR="00B40789" w:rsidRPr="0052121A" w:rsidRDefault="00B40789" w:rsidP="00B40789">
      <w:pPr>
        <w:rPr>
          <w:b/>
          <w:bCs/>
        </w:rPr>
      </w:pPr>
      <w:r w:rsidRPr="0052121A">
        <w:rPr>
          <w:b/>
          <w:bCs/>
        </w:rPr>
        <w:br w:type="page"/>
      </w:r>
    </w:p>
    <w:p w14:paraId="67DAFCCC" w14:textId="77777777" w:rsidR="00B40789" w:rsidRPr="0052121A" w:rsidRDefault="00B40789" w:rsidP="00B40789">
      <w:pPr>
        <w:spacing w:after="0" w:line="360" w:lineRule="auto"/>
        <w:rPr>
          <w:b/>
          <w:bCs/>
        </w:rPr>
      </w:pPr>
      <w:r w:rsidRPr="0052121A">
        <w:rPr>
          <w:b/>
          <w:bCs/>
          <w:noProof/>
        </w:rPr>
        <w:lastRenderedPageBreak/>
        <mc:AlternateContent>
          <mc:Choice Requires="wps">
            <w:drawing>
              <wp:anchor distT="45720" distB="45720" distL="114300" distR="114300" simplePos="0" relativeHeight="251662336" behindDoc="0" locked="0" layoutInCell="1" allowOverlap="1" wp14:anchorId="69E31B55" wp14:editId="489C8D34">
                <wp:simplePos x="0" y="0"/>
                <wp:positionH relativeFrom="margin">
                  <wp:align>left</wp:align>
                </wp:positionH>
                <wp:positionV relativeFrom="paragraph">
                  <wp:posOffset>278148</wp:posOffset>
                </wp:positionV>
                <wp:extent cx="5677535" cy="1404620"/>
                <wp:effectExtent l="0" t="0" r="18415" b="24765"/>
                <wp:wrapSquare wrapText="bothSides"/>
                <wp:docPr id="537724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535" cy="1404620"/>
                        </a:xfrm>
                        <a:prstGeom prst="rect">
                          <a:avLst/>
                        </a:prstGeom>
                        <a:solidFill>
                          <a:srgbClr val="FFFFFF"/>
                        </a:solidFill>
                        <a:ln w="9525">
                          <a:solidFill>
                            <a:srgbClr val="000000"/>
                          </a:solidFill>
                          <a:miter lim="800000"/>
                          <a:headEnd/>
                          <a:tailEnd/>
                        </a:ln>
                      </wps:spPr>
                      <wps:txbx>
                        <w:txbxContent>
                          <w:p w14:paraId="0C6607A1" w14:textId="77777777" w:rsidR="00B40789" w:rsidRPr="006129A4" w:rsidRDefault="00B40789" w:rsidP="00B40789">
                            <w:pPr>
                              <w:spacing w:after="0" w:line="276" w:lineRule="auto"/>
                              <w:rPr>
                                <w:b/>
                                <w:bCs/>
                              </w:rPr>
                            </w:pPr>
                            <w:r>
                              <w:t>POD was a feasibility PG-CRT in orthopaedic trauma wards of an intervention to prevent delirium in elderly care [25]. Participants became eligible when admitted to a ward, so no eligible trial participants were identified before cluster randomisation (1b). Data collection was post-admission, and was therefore unique to each participant (2b). The primary outcome was assessed over 10 days of hospital admission; repeated measurements were obtained with the ability to link outcomes over time (3c). POD was a ward-based intervention involving staff and volunteers to change the environment experienced by participants (7a). Trial participants were recruited continuously, as they became eligible (4c). As a result of the intervention level, participants were first exposed when they joined the ward, and if they met eligibility criteria were asked to consent within 48 hours of admission (5c). Participants were then exposed until they were discharged (6b). Following cluster randomisation, intervention wards underwent a 6-month embedding period before participants were recruited (8b). No information could be found about refresher training for staff in the ward or training for new staff (9a/b/c). All wards began participant recruitment at the same time (10a). Participants were not present in the ward before cluster-randomisation, so time in the ward at baseline was not an issue (11a).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E31B55" id="_x0000_s1030" type="#_x0000_t202" style="position:absolute;margin-left:0;margin-top:21.9pt;width:447.05pt;height:110.6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">
                <v:textbox style="mso-fit-shape-to-text:t">
                  <w:txbxContent>
                    <w:p w14:paraId="0C6607A1" w14:textId="77777777" w:rsidR="00B40789" w:rsidRPr="006129A4" w:rsidRDefault="00B40789" w:rsidP="00B40789">
                      <w:pPr>
                        <w:spacing w:after="0" w:line="276" w:lineRule="auto"/>
                        <w:rPr>
                          <w:b/>
                          <w:bCs/>
                        </w:rPr>
                      </w:pPr>
                      <w:r>
                        <w:t>POD was a feasibility PG-CRT in orthopaedic trauma wards of an intervention to prevent delirium in elderly care [25]. Participants became eligible when admitted to a ward, so no eligible trial participants were identified before cluster randomisation (1b). Data collection was post-admission, and was therefore unique to each participant (2b). The primary outcome was assessed over 10 days of hospital admission; repeated measurements were obtained with the ability to link outcomes over time (3c). POD was a ward-based intervention involving staff and volunteers to change the environment experienced by participants (7a). Trial participants were recruited continuously, as they became eligible (4c). As a result of the intervention level, participants were first exposed when they joined the ward, and if they met eligibility criteria were asked to consent within 48 hours of admission (5c). Participants were then exposed until they were discharged (6b). Following cluster randomisation, intervention wards underwent a 6-month embedding period before participants were recruited (8b). No information could be found about refresher training for staff in the ward or training for new staff (9a/b/c). All wards began participant recruitment at the same time (10a). Participants were not present in the ward before cluster-randomisation, so time in the ward at baseline was not an issue (11a).</w:t>
                      </w:r>
                    </w:p>
                  </w:txbxContent>
                </v:textbox>
                <w10:wrap type="square" anchorx="margin"/>
              </v:shape>
            </w:pict>
          </mc:Fallback>
        </mc:AlternateContent>
      </w:r>
      <w:r w:rsidRPr="0052121A">
        <w:rPr>
          <w:b/>
          <w:bCs/>
        </w:rPr>
        <w:t xml:space="preserve">Box 5 – </w:t>
      </w:r>
      <w:r w:rsidRPr="0052121A">
        <w:rPr>
          <w:b/>
          <w:bCs/>
          <w:u w:val="single"/>
        </w:rPr>
        <w:t>P</w:t>
      </w:r>
      <w:r w:rsidRPr="0052121A">
        <w:rPr>
          <w:b/>
          <w:bCs/>
        </w:rPr>
        <w:t xml:space="preserve">revention </w:t>
      </w:r>
      <w:r w:rsidRPr="0052121A">
        <w:rPr>
          <w:b/>
          <w:bCs/>
          <w:u w:val="single"/>
        </w:rPr>
        <w:t>O</w:t>
      </w:r>
      <w:r w:rsidRPr="0052121A">
        <w:rPr>
          <w:b/>
          <w:bCs/>
        </w:rPr>
        <w:t xml:space="preserve">f </w:t>
      </w:r>
      <w:r w:rsidRPr="0052121A">
        <w:rPr>
          <w:b/>
          <w:bCs/>
          <w:u w:val="single"/>
        </w:rPr>
        <w:t>D</w:t>
      </w:r>
      <w:r w:rsidRPr="0052121A">
        <w:rPr>
          <w:b/>
          <w:bCs/>
        </w:rPr>
        <w:t>elirium (POD)</w:t>
      </w:r>
    </w:p>
    <w:p w14:paraId="5721170B" w14:textId="77777777" w:rsidR="00B40789" w:rsidRPr="0052121A" w:rsidRDefault="00B40789" w:rsidP="00B40789">
      <w:pPr>
        <w:spacing w:after="0" w:line="360" w:lineRule="auto"/>
        <w:rPr>
          <w:b/>
          <w:bCs/>
        </w:rPr>
      </w:pPr>
    </w:p>
    <w:p w14:paraId="2B7DE148" w14:textId="77777777" w:rsidR="00B40789" w:rsidRPr="0052121A" w:rsidRDefault="00B40789" w:rsidP="00B40789">
      <w:pPr>
        <w:spacing w:after="0" w:line="360" w:lineRule="auto"/>
        <w:rPr>
          <w:b/>
          <w:bCs/>
        </w:rPr>
      </w:pPr>
    </w:p>
    <w:p w14:paraId="17384A4B" w14:textId="77777777" w:rsidR="00B40789" w:rsidRPr="0052121A" w:rsidRDefault="00B40789" w:rsidP="00B40789">
      <w:pPr>
        <w:spacing w:after="0" w:line="360" w:lineRule="auto"/>
        <w:rPr>
          <w:b/>
          <w:bCs/>
        </w:rPr>
      </w:pPr>
    </w:p>
    <w:p w14:paraId="6586EF7E" w14:textId="77777777" w:rsidR="00B40789" w:rsidRPr="0052121A" w:rsidRDefault="00B40789" w:rsidP="00B40789">
      <w:pPr>
        <w:spacing w:after="0" w:line="360" w:lineRule="auto"/>
        <w:rPr>
          <w:b/>
          <w:bCs/>
        </w:rPr>
      </w:pPr>
    </w:p>
    <w:p w14:paraId="049EA339" w14:textId="77777777" w:rsidR="00B40789" w:rsidRPr="0052121A" w:rsidRDefault="00B40789" w:rsidP="00B40789">
      <w:pPr>
        <w:rPr>
          <w:b/>
          <w:bCs/>
        </w:rPr>
      </w:pPr>
      <w:r w:rsidRPr="0052121A">
        <w:rPr>
          <w:b/>
          <w:bCs/>
        </w:rPr>
        <w:br w:type="page"/>
      </w:r>
    </w:p>
    <w:p w14:paraId="54E86B24" w14:textId="77777777" w:rsidR="00B40789" w:rsidRPr="0052121A" w:rsidRDefault="00B40789" w:rsidP="00B40789">
      <w:pPr>
        <w:spacing w:after="0" w:line="360" w:lineRule="auto"/>
        <w:rPr>
          <w:b/>
          <w:bCs/>
        </w:rPr>
      </w:pPr>
      <w:r w:rsidRPr="0052121A">
        <w:rPr>
          <w:b/>
          <w:bCs/>
          <w:noProof/>
        </w:rPr>
        <w:lastRenderedPageBreak/>
        <mc:AlternateContent>
          <mc:Choice Requires="wps">
            <w:drawing>
              <wp:anchor distT="45720" distB="45720" distL="114300" distR="114300" simplePos="0" relativeHeight="251663360" behindDoc="0" locked="0" layoutInCell="1" allowOverlap="1" wp14:anchorId="38E1F15D" wp14:editId="4EF53EB9">
                <wp:simplePos x="0" y="0"/>
                <wp:positionH relativeFrom="margin">
                  <wp:posOffset>-635</wp:posOffset>
                </wp:positionH>
                <wp:positionV relativeFrom="paragraph">
                  <wp:posOffset>287329</wp:posOffset>
                </wp:positionV>
                <wp:extent cx="5677535" cy="1404620"/>
                <wp:effectExtent l="0" t="0" r="18415" b="20320"/>
                <wp:wrapSquare wrapText="bothSides"/>
                <wp:docPr id="1216534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535" cy="1404620"/>
                        </a:xfrm>
                        <a:prstGeom prst="rect">
                          <a:avLst/>
                        </a:prstGeom>
                        <a:solidFill>
                          <a:srgbClr val="FFFFFF"/>
                        </a:solidFill>
                        <a:ln w="9525">
                          <a:solidFill>
                            <a:srgbClr val="000000"/>
                          </a:solidFill>
                          <a:miter lim="800000"/>
                          <a:headEnd/>
                          <a:tailEnd/>
                        </a:ln>
                      </wps:spPr>
                      <wps:txbx>
                        <w:txbxContent>
                          <w:p w14:paraId="36F17DFD" w14:textId="77777777" w:rsidR="00B40789" w:rsidRPr="006129A4" w:rsidRDefault="00B40789" w:rsidP="00B40789">
                            <w:pPr>
                              <w:spacing w:after="0" w:line="276" w:lineRule="auto"/>
                              <w:rPr>
                                <w:b/>
                                <w:bCs/>
                              </w:rPr>
                            </w:pPr>
                            <w:r>
                              <w:t>PROSPER was a feasibility PG-CRT in general practices, assessing whether a care planning intervention could improve frailty in older people [26]. All eligible trial participants were identified before cluster randomisation (1a). Participants were assessed for the primary outcome at 12 months following consent (2b, 3c). A team-based intervention was delivered to general practices (7a). Participants who had previously been identified before cluster randomisation were consented after cluster randomisation on an individual basis for logistical reasons (4b). Participants were exposed on an individual basis following consent (5b). The intervention was a fixed duration of 12 weeks (6b).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E1F15D" id="_x0000_s1031" type="#_x0000_t202" style="position:absolute;margin-left:-.05pt;margin-top:22.6pt;width:447.0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TFgIAACcEAAAOAAAAZHJzL2Uyb0RvYy54bWysk99v2yAQx98n7X9AvC92sjhprThVly7T&#10;pO6H1O0PwIBjNMwxILGzv74HTtOo216m8YA4Dr7cfe5Y3QydJgfpvAJT0ekkp0QaDkKZXUW/f9u+&#10;uaL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">
                <v:textbox style="mso-fit-shape-to-text:t">
                  <w:txbxContent>
                    <w:p w14:paraId="36F17DFD" w14:textId="77777777" w:rsidR="00B40789" w:rsidRPr="006129A4" w:rsidRDefault="00B40789" w:rsidP="00B40789">
                      <w:pPr>
                        <w:spacing w:after="0" w:line="276" w:lineRule="auto"/>
                        <w:rPr>
                          <w:b/>
                          <w:bCs/>
                        </w:rPr>
                      </w:pPr>
                      <w:r>
                        <w:t>PROSPER was a feasibility PG-CRT in general practices, assessing whether a care planning intervention could improve frailty in older people [26]. All eligible trial participants were identified before cluster randomisation (1a). Participants were assessed for the primary outcome at 12 months following consent (2b, 3c). A team-based intervention was delivered to general practices (7a). Participants who had previously been identified before cluster randomisation were consented after cluster randomisation on an individual basis for logistical reasons (4b). Participants were exposed on an individual basis following consent (5b). The intervention was a fixed duration of 12 weeks (6b).</w:t>
                      </w:r>
                    </w:p>
                  </w:txbxContent>
                </v:textbox>
                <w10:wrap type="square" anchorx="margin"/>
              </v:shape>
            </w:pict>
          </mc:Fallback>
        </mc:AlternateContent>
      </w:r>
      <w:r w:rsidRPr="0052121A">
        <w:rPr>
          <w:b/>
          <w:bCs/>
        </w:rPr>
        <w:t xml:space="preserve">Box 6 – </w:t>
      </w:r>
      <w:r w:rsidRPr="0052121A">
        <w:rPr>
          <w:b/>
          <w:bCs/>
          <w:u w:val="single"/>
        </w:rPr>
        <w:t>P</w:t>
      </w:r>
      <w:r w:rsidRPr="0052121A">
        <w:rPr>
          <w:b/>
          <w:bCs/>
        </w:rPr>
        <w:t>e</w:t>
      </w:r>
      <w:r w:rsidRPr="0052121A">
        <w:rPr>
          <w:b/>
          <w:bCs/>
          <w:u w:val="single"/>
        </w:rPr>
        <w:t>R</w:t>
      </w:r>
      <w:r w:rsidRPr="0052121A">
        <w:rPr>
          <w:b/>
          <w:bCs/>
        </w:rPr>
        <w:t>s</w:t>
      </w:r>
      <w:r w:rsidRPr="0052121A">
        <w:rPr>
          <w:b/>
          <w:bCs/>
          <w:u w:val="single"/>
        </w:rPr>
        <w:t>O</w:t>
      </w:r>
      <w:r w:rsidRPr="0052121A">
        <w:rPr>
          <w:b/>
          <w:bCs/>
        </w:rPr>
        <w:t>nali</w:t>
      </w:r>
      <w:r w:rsidRPr="0052121A">
        <w:rPr>
          <w:b/>
          <w:bCs/>
          <w:u w:val="single"/>
        </w:rPr>
        <w:t>S</w:t>
      </w:r>
      <w:r w:rsidRPr="0052121A">
        <w:rPr>
          <w:b/>
          <w:bCs/>
        </w:rPr>
        <w:t xml:space="preserve">ed Care </w:t>
      </w:r>
      <w:r w:rsidRPr="0052121A">
        <w:rPr>
          <w:b/>
          <w:bCs/>
          <w:u w:val="single"/>
        </w:rPr>
        <w:t>P</w:t>
      </w:r>
      <w:r w:rsidRPr="0052121A">
        <w:rPr>
          <w:b/>
          <w:bCs/>
        </w:rPr>
        <w:t>lanning for Old</w:t>
      </w:r>
      <w:r w:rsidRPr="0052121A">
        <w:rPr>
          <w:b/>
          <w:bCs/>
          <w:u w:val="single"/>
        </w:rPr>
        <w:t>ER</w:t>
      </w:r>
      <w:r w:rsidRPr="0052121A">
        <w:rPr>
          <w:b/>
          <w:bCs/>
        </w:rPr>
        <w:t xml:space="preserve"> People (PROSPER)</w:t>
      </w:r>
    </w:p>
    <w:p w14:paraId="73632F13" w14:textId="77777777" w:rsidR="00B40789" w:rsidRPr="0052121A" w:rsidRDefault="00B40789" w:rsidP="00B40789">
      <w:pPr>
        <w:spacing w:after="0" w:line="360" w:lineRule="auto"/>
        <w:rPr>
          <w:b/>
          <w:bCs/>
        </w:rPr>
      </w:pPr>
    </w:p>
    <w:p w14:paraId="3F11D46D" w14:textId="77777777" w:rsidR="00B40789" w:rsidRPr="0052121A" w:rsidRDefault="00B40789" w:rsidP="00B40789">
      <w:pPr>
        <w:spacing w:after="0" w:line="360" w:lineRule="auto"/>
        <w:rPr>
          <w:b/>
          <w:bCs/>
        </w:rPr>
      </w:pPr>
    </w:p>
    <w:p w14:paraId="2A0F426D" w14:textId="77777777" w:rsidR="00B40789" w:rsidRPr="0052121A" w:rsidRDefault="00B40789" w:rsidP="00B40789">
      <w:pPr>
        <w:spacing w:after="0" w:line="360" w:lineRule="auto"/>
        <w:rPr>
          <w:b/>
          <w:bCs/>
        </w:rPr>
      </w:pPr>
    </w:p>
    <w:p w14:paraId="2674077F" w14:textId="77777777" w:rsidR="00B40789" w:rsidRPr="0052121A" w:rsidRDefault="00B40789" w:rsidP="00B40789">
      <w:pPr>
        <w:rPr>
          <w:b/>
          <w:bCs/>
        </w:rPr>
      </w:pPr>
      <w:r w:rsidRPr="0052121A">
        <w:rPr>
          <w:b/>
          <w:bCs/>
        </w:rPr>
        <w:br w:type="page"/>
      </w:r>
    </w:p>
    <w:p w14:paraId="1D2029A7" w14:textId="77777777" w:rsidR="00B40789" w:rsidRPr="0052121A" w:rsidRDefault="00B40789" w:rsidP="00B40789">
      <w:pPr>
        <w:spacing w:after="0" w:line="276" w:lineRule="auto"/>
        <w:rPr>
          <w:b/>
          <w:bCs/>
        </w:rPr>
      </w:pPr>
      <w:r w:rsidRPr="0052121A">
        <w:rPr>
          <w:b/>
          <w:bCs/>
          <w:noProof/>
        </w:rPr>
        <w:lastRenderedPageBreak/>
        <mc:AlternateContent>
          <mc:Choice Requires="wps">
            <w:drawing>
              <wp:anchor distT="45720" distB="45720" distL="114300" distR="114300" simplePos="0" relativeHeight="251664384" behindDoc="0" locked="0" layoutInCell="1" allowOverlap="1" wp14:anchorId="3174130E" wp14:editId="4D0BBD60">
                <wp:simplePos x="0" y="0"/>
                <wp:positionH relativeFrom="margin">
                  <wp:posOffset>-635</wp:posOffset>
                </wp:positionH>
                <wp:positionV relativeFrom="paragraph">
                  <wp:posOffset>280052</wp:posOffset>
                </wp:positionV>
                <wp:extent cx="5677535" cy="1404620"/>
                <wp:effectExtent l="0" t="0" r="18415" b="20320"/>
                <wp:wrapSquare wrapText="bothSides"/>
                <wp:docPr id="726096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535" cy="1404620"/>
                        </a:xfrm>
                        <a:prstGeom prst="rect">
                          <a:avLst/>
                        </a:prstGeom>
                        <a:solidFill>
                          <a:srgbClr val="FFFFFF"/>
                        </a:solidFill>
                        <a:ln w="9525">
                          <a:solidFill>
                            <a:srgbClr val="000000"/>
                          </a:solidFill>
                          <a:miter lim="800000"/>
                          <a:headEnd/>
                          <a:tailEnd/>
                        </a:ln>
                      </wps:spPr>
                      <wps:txbx>
                        <w:txbxContent>
                          <w:p w14:paraId="3639CA5F" w14:textId="77777777" w:rsidR="00B40789" w:rsidRPr="006129A4" w:rsidRDefault="00B40789" w:rsidP="00B40789">
                            <w:pPr>
                              <w:spacing w:after="0" w:line="276" w:lineRule="auto"/>
                              <w:rPr>
                                <w:b/>
                                <w:bCs/>
                              </w:rPr>
                            </w:pPr>
                            <w:r w:rsidRPr="000040E4">
                              <w:t>VIVALDI-CT</w:t>
                            </w:r>
                            <w:r>
                              <w:t xml:space="preserve"> is a PG-CRT in care homes, assessing the impact of regular asymptomatic testing of care home staff for COVID-19, </w:t>
                            </w:r>
                            <w:r w:rsidRPr="00EA59A6">
                              <w:t>compared to national testing guidance, on incidence of COVID-19 related hospital admissions in residents [2</w:t>
                            </w:r>
                            <w:r>
                              <w:t>7</w:t>
                            </w:r>
                            <w:r w:rsidRPr="00EA59A6">
                              <w:t xml:space="preserve">]. </w:t>
                            </w:r>
                            <w:r w:rsidRPr="000040E4">
                              <w:t xml:space="preserve">Some </w:t>
                            </w:r>
                            <w:r>
                              <w:t>residents</w:t>
                            </w:r>
                            <w:r w:rsidRPr="000040E4">
                              <w:t xml:space="preserve"> </w:t>
                            </w:r>
                            <w:r>
                              <w:t>are</w:t>
                            </w:r>
                            <w:r w:rsidRPr="000040E4">
                              <w:t xml:space="preserve"> identified before cluster randomisation,</w:t>
                            </w:r>
                            <w:r>
                              <w:t xml:space="preserve"> while</w:t>
                            </w:r>
                            <w:r w:rsidRPr="000040E4">
                              <w:t xml:space="preserve"> some </w:t>
                            </w:r>
                            <w:r>
                              <w:t xml:space="preserve">are </w:t>
                            </w:r>
                            <w:r w:rsidRPr="000040E4">
                              <w:t>not (1c).</w:t>
                            </w:r>
                            <w:r>
                              <w:rPr>
                                <w:sz w:val="20"/>
                                <w:szCs w:val="20"/>
                              </w:rPr>
                              <w:t xml:space="preserve"> </w:t>
                            </w:r>
                            <w:r>
                              <w:t>The primary outcome is anchored to the randomisation of care homes (2a) with constant surveillance for hospital admission events in residents thereafter (3c). Although the intervention is delivered to care home staff, to achieve its aims it is delivered to all staff making cluster randomisation essential (7a). Some residents become eligible at baseline, while others become eligible as they enter the care home thereafter (4d). Residents who enter the care home prior to cluster randomisation are first exposed to the intervention following cluster randomisation, while those who enter the care home after cluster randomisation are first exposed when they enter the home (5d). As such, there are variable exposure lengths across residents (6d). While there is no embedding period for the intervention, it is not clear whether learning effects are likely (8a/c). Similarly, it is not clear what strategies were considered to counteract possible drift (9a/c). All care homes will be randomised at the same time, or in a phased approach by different providers as they become ready (10a/b). Some residents were in the care home before cluster randomisation, so their length of stay could affect trial outcomes (11b/c).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74130E" id="_x0000_s1032" type="#_x0000_t202" style="position:absolute;margin-left:-.05pt;margin-top:22.05pt;width:447.0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">
                <v:textbox style="mso-fit-shape-to-text:t">
                  <w:txbxContent>
                    <w:p w14:paraId="3639CA5F" w14:textId="77777777" w:rsidR="00B40789" w:rsidRPr="006129A4" w:rsidRDefault="00B40789" w:rsidP="00B40789">
                      <w:pPr>
                        <w:spacing w:after="0" w:line="276" w:lineRule="auto"/>
                        <w:rPr>
                          <w:b/>
                          <w:bCs/>
                        </w:rPr>
                      </w:pPr>
                      <w:r w:rsidRPr="000040E4">
                        <w:t>VIVALDI-CT</w:t>
                      </w:r>
                      <w:r>
                        <w:t xml:space="preserve"> is a PG-CRT in care homes, assessing the impact of regular asymptomatic testing of care home staff for COVID-19, </w:t>
                      </w:r>
                      <w:r w:rsidRPr="00EA59A6">
                        <w:t>compared to national testing guidance, on incidence of COVID-19 related hospital admissions in residents [2</w:t>
                      </w:r>
                      <w:r>
                        <w:t>7</w:t>
                      </w:r>
                      <w:r w:rsidRPr="00EA59A6">
                        <w:t xml:space="preserve">]. </w:t>
                      </w:r>
                      <w:r w:rsidRPr="000040E4">
                        <w:t xml:space="preserve">Some </w:t>
                      </w:r>
                      <w:r>
                        <w:t>residents</w:t>
                      </w:r>
                      <w:r w:rsidRPr="000040E4">
                        <w:t xml:space="preserve"> </w:t>
                      </w:r>
                      <w:r>
                        <w:t>are</w:t>
                      </w:r>
                      <w:r w:rsidRPr="000040E4">
                        <w:t xml:space="preserve"> identified before cluster randomisation,</w:t>
                      </w:r>
                      <w:r>
                        <w:t xml:space="preserve"> while</w:t>
                      </w:r>
                      <w:r w:rsidRPr="000040E4">
                        <w:t xml:space="preserve"> some </w:t>
                      </w:r>
                      <w:r>
                        <w:t xml:space="preserve">are </w:t>
                      </w:r>
                      <w:r w:rsidRPr="000040E4">
                        <w:t>not (1c).</w:t>
                      </w:r>
                      <w:r>
                        <w:rPr>
                          <w:sz w:val="20"/>
                          <w:szCs w:val="20"/>
                        </w:rPr>
                        <w:t xml:space="preserve"> </w:t>
                      </w:r>
                      <w:r>
                        <w:t>The primary outcome is anchored to the randomisation of care homes (2a) with constant surveillance for hospital admission events in residents thereafter (3c). Although the intervention is delivered to care home staff, to achieve its aims it is delivered to all staff making cluster randomisation essential (7a). Some residents become eligible at baseline, while others become eligible as they enter the care home thereafter (4d). Residents who enter the care home prior to cluster randomisation are first exposed to the intervention following cluster randomisation, while those who enter the care home after cluster randomisation are first exposed when they enter the home (5d). As such, there are variable exposure lengths across residents (6d). While there is no embedding period for the intervention, it is not clear whether learning effects are likely (8a/c). Similarly, it is not clear what strategies were considered to counteract possible drift (9a/c). All care homes will be randomised at the same time, or in a phased approach by different providers as they become ready (10a/b). Some residents were in the care home before cluster randomisation, so their length of stay could affect trial outcomes (11b/c).</w:t>
                      </w:r>
                    </w:p>
                  </w:txbxContent>
                </v:textbox>
                <w10:wrap type="square" anchorx="margin"/>
              </v:shape>
            </w:pict>
          </mc:Fallback>
        </mc:AlternateContent>
      </w:r>
      <w:r w:rsidRPr="0052121A">
        <w:rPr>
          <w:b/>
          <w:bCs/>
        </w:rPr>
        <w:t>Box 7 – Shaping care home COVID-19 testing policy (VIVALDI-CT)</w:t>
      </w:r>
    </w:p>
    <w:p w14:paraId="3F3C7F08" w14:textId="75EAA6C9" w:rsidR="008C374B" w:rsidRDefault="008C374B" w:rsidP="00B40789"/>
    <w:sectPr w:rsidR="008C3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789"/>
    <w:rsid w:val="002A5090"/>
    <w:rsid w:val="003F36CB"/>
    <w:rsid w:val="005C6F5D"/>
    <w:rsid w:val="008C374B"/>
    <w:rsid w:val="00954821"/>
    <w:rsid w:val="00AF416B"/>
    <w:rsid w:val="00B40789"/>
    <w:rsid w:val="00E459B1"/>
    <w:rsid w:val="00E910FB"/>
    <w:rsid w:val="00FD242C"/>
    <w:rsid w:val="00FF6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917C95"/>
  <w15:chartTrackingRefBased/>
  <w15:docId w15:val="{1B9ECF7F-87BB-4BD3-B28C-A325A777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89"/>
    <w:rPr>
      <w:kern w:val="0"/>
      <w:lang w:val="en-GB"/>
      <w14:ligatures w14:val="none"/>
    </w:rPr>
  </w:style>
  <w:style w:type="paragraph" w:styleId="Heading1">
    <w:name w:val="heading 1"/>
    <w:basedOn w:val="Normal"/>
    <w:next w:val="Normal"/>
    <w:link w:val="Heading1Char"/>
    <w:uiPriority w:val="9"/>
    <w:qFormat/>
    <w:rsid w:val="00B40789"/>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40789"/>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40789"/>
    <w:pPr>
      <w:keepNext/>
      <w:keepLines/>
      <w:spacing w:before="160" w:after="80"/>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40789"/>
    <w:pPr>
      <w:keepNext/>
      <w:keepLines/>
      <w:spacing w:before="80" w:after="40"/>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B40789"/>
    <w:pPr>
      <w:keepNext/>
      <w:keepLines/>
      <w:spacing w:before="80" w:after="40"/>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B40789"/>
    <w:pPr>
      <w:keepNext/>
      <w:keepLines/>
      <w:spacing w:before="40" w:after="0"/>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B40789"/>
    <w:pPr>
      <w:keepNext/>
      <w:keepLines/>
      <w:spacing w:before="40" w:after="0"/>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B40789"/>
    <w:pPr>
      <w:keepNext/>
      <w:keepLines/>
      <w:spacing w:after="0"/>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B40789"/>
    <w:pPr>
      <w:keepNext/>
      <w:keepLines/>
      <w:spacing w:after="0"/>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789"/>
    <w:rPr>
      <w:rFonts w:eastAsiaTheme="majorEastAsia" w:cstheme="majorBidi"/>
      <w:color w:val="272727" w:themeColor="text1" w:themeTint="D8"/>
    </w:rPr>
  </w:style>
  <w:style w:type="paragraph" w:styleId="Title">
    <w:name w:val="Title"/>
    <w:basedOn w:val="Normal"/>
    <w:next w:val="Normal"/>
    <w:link w:val="TitleChar"/>
    <w:uiPriority w:val="10"/>
    <w:qFormat/>
    <w:rsid w:val="00B4078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40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789"/>
    <w:pPr>
      <w:numPr>
        <w:ilvl w:val="1"/>
      </w:numPr>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40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789"/>
    <w:pPr>
      <w:spacing w:before="160"/>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B40789"/>
    <w:rPr>
      <w:i/>
      <w:iCs/>
      <w:color w:val="404040" w:themeColor="text1" w:themeTint="BF"/>
    </w:rPr>
  </w:style>
  <w:style w:type="paragraph" w:styleId="ListParagraph">
    <w:name w:val="List Paragraph"/>
    <w:basedOn w:val="Normal"/>
    <w:uiPriority w:val="34"/>
    <w:qFormat/>
    <w:rsid w:val="00B40789"/>
    <w:pPr>
      <w:ind w:left="720"/>
      <w:contextualSpacing/>
    </w:pPr>
    <w:rPr>
      <w:kern w:val="2"/>
      <w:lang w:val="en-US"/>
      <w14:ligatures w14:val="standardContextual"/>
    </w:rPr>
  </w:style>
  <w:style w:type="character" w:styleId="IntenseEmphasis">
    <w:name w:val="Intense Emphasis"/>
    <w:basedOn w:val="DefaultParagraphFont"/>
    <w:uiPriority w:val="21"/>
    <w:qFormat/>
    <w:rsid w:val="00B40789"/>
    <w:rPr>
      <w:i/>
      <w:iCs/>
      <w:color w:val="0F4761" w:themeColor="accent1" w:themeShade="BF"/>
    </w:rPr>
  </w:style>
  <w:style w:type="paragraph" w:styleId="IntenseQuote">
    <w:name w:val="Intense Quote"/>
    <w:basedOn w:val="Normal"/>
    <w:next w:val="Normal"/>
    <w:link w:val="IntenseQuoteChar"/>
    <w:uiPriority w:val="30"/>
    <w:qFormat/>
    <w:rsid w:val="00B40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B40789"/>
    <w:rPr>
      <w:i/>
      <w:iCs/>
      <w:color w:val="0F4761" w:themeColor="accent1" w:themeShade="BF"/>
    </w:rPr>
  </w:style>
  <w:style w:type="character" w:styleId="IntenseReference">
    <w:name w:val="Intense Reference"/>
    <w:basedOn w:val="DefaultParagraphFont"/>
    <w:uiPriority w:val="32"/>
    <w:qFormat/>
    <w:rsid w:val="00B407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70</Words>
  <Characters>405</Characters>
  <Application>Microsoft Office Word</Application>
  <DocSecurity>0</DocSecurity>
  <Lines>3</Lines>
  <Paragraphs>1</Paragraphs>
  <ScaleCrop>false</ScaleCrop>
  <Company>Springer Nature</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2024-11-21T07:00:00Z</dcterms:created>
  <dcterms:modified xsi:type="dcterms:W3CDTF">2024-11-21T07:01:00Z</dcterms:modified>
</cp:coreProperties>
</file>