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0299BF">
      <w:pPr>
        <w:jc w:val="center"/>
        <w:rPr>
          <w:rFonts w:hint="default"/>
          <w:b/>
          <w:bCs/>
          <w:sz w:val="44"/>
          <w:szCs w:val="44"/>
          <w:lang w:val="en-GB" w:eastAsia="en-US"/>
        </w:rPr>
      </w:pPr>
      <w:r>
        <w:rPr>
          <w:b/>
          <w:bCs/>
          <w:sz w:val="44"/>
          <w:szCs w:val="44"/>
        </w:rPr>
        <w:t xml:space="preserve">Supplemental </w:t>
      </w:r>
      <w:r>
        <w:rPr>
          <w:rFonts w:hint="default"/>
          <w:b/>
          <w:bCs/>
          <w:sz w:val="44"/>
          <w:szCs w:val="44"/>
          <w:lang w:val="en-GB"/>
        </w:rPr>
        <w:t>Information</w:t>
      </w:r>
    </w:p>
    <w:p w14:paraId="7DD0EED4">
      <w:pPr>
        <w:jc w:val="center"/>
        <w:rPr>
          <w:b/>
          <w:bCs/>
          <w:sz w:val="32"/>
          <w:szCs w:val="32"/>
        </w:rPr>
      </w:pPr>
      <w:r>
        <w:rPr>
          <w:b/>
          <w:bCs/>
          <w:sz w:val="32"/>
          <w:szCs w:val="32"/>
        </w:rPr>
        <w:t>Energy-dependent broadening of Rashba-</w:t>
      </w:r>
      <w:r>
        <w:rPr>
          <w:rFonts w:hint="default"/>
          <w:b/>
          <w:bCs/>
          <w:sz w:val="32"/>
          <w:szCs w:val="32"/>
          <w:lang w:val="en-GB"/>
        </w:rPr>
        <w:t>type</w:t>
      </w:r>
      <w:r>
        <w:rPr>
          <w:b/>
          <w:bCs/>
          <w:sz w:val="32"/>
          <w:szCs w:val="32"/>
        </w:rPr>
        <w:t xml:space="preserve"> spin splitting in a Au</w:t>
      </w:r>
      <w:r>
        <w:rPr>
          <w:b/>
          <w:bCs/>
          <w:sz w:val="32"/>
          <w:szCs w:val="32"/>
          <w:vertAlign w:val="subscript"/>
        </w:rPr>
        <w:t>2</w:t>
      </w:r>
      <w:r>
        <w:rPr>
          <w:b/>
          <w:bCs/>
          <w:sz w:val="32"/>
          <w:szCs w:val="32"/>
        </w:rPr>
        <w:t>Sb surface alloy  with periodic structural defects</w:t>
      </w:r>
    </w:p>
    <w:p w14:paraId="53672EEE">
      <w:pPr>
        <w:spacing w:after="0" w:line="264" w:lineRule="auto"/>
        <w:ind w:left="1822" w:right="118" w:hanging="1736"/>
        <w:jc w:val="center"/>
      </w:pPr>
      <w:r>
        <w:rPr>
          <w:b/>
          <w:bCs/>
          <w:sz w:val="32"/>
          <w:szCs w:val="32"/>
        </w:rPr>
        <w:t xml:space="preserve"> </w:t>
      </w:r>
      <w:r>
        <w:t>Jinbang Hu</w:t>
      </w:r>
      <w:r>
        <w:rPr>
          <w:vertAlign w:val="superscript"/>
        </w:rPr>
        <w:t>1, +</w:t>
      </w:r>
      <w:r>
        <w:t>; Xiansi Wang</w:t>
      </w:r>
      <w:r>
        <w:rPr>
          <w:vertAlign w:val="superscript"/>
        </w:rPr>
        <w:t>2</w:t>
      </w:r>
      <w:r>
        <w:t>; Anna Cecilie Åsland</w:t>
      </w:r>
      <w:r>
        <w:rPr>
          <w:vertAlign w:val="superscript"/>
        </w:rPr>
        <w:t>1</w:t>
      </w:r>
      <w:r>
        <w:t>; Justin W. Wells</w:t>
      </w:r>
      <w:r>
        <w:rPr>
          <w:vertAlign w:val="superscript"/>
        </w:rPr>
        <w:t>1,3 +</w:t>
      </w:r>
    </w:p>
    <w:p w14:paraId="38803A4D">
      <w:pPr>
        <w:spacing w:after="0" w:line="264" w:lineRule="auto"/>
        <w:ind w:right="118"/>
        <w:jc w:val="center"/>
        <w:rPr>
          <w:rFonts w:ascii="Times New Roman" w:hAnsi="Times New Roman" w:eastAsia="Times New Roman" w:cs="Times New Roman"/>
          <w:i/>
          <w:color w:val="000000"/>
          <w:kern w:val="2"/>
        </w:rPr>
      </w:pPr>
      <w:r>
        <w:rPr>
          <w:rFonts w:ascii="Times New Roman" w:hAnsi="Times New Roman" w:eastAsia="Times New Roman" w:cs="Times New Roman"/>
          <w:i/>
          <w:color w:val="000000"/>
          <w:kern w:val="2"/>
          <w:sz w:val="24"/>
          <w:vertAlign w:val="superscript"/>
        </w:rPr>
        <w:t>1</w:t>
      </w:r>
      <w:r>
        <w:rPr>
          <w:rFonts w:ascii="Times New Roman" w:hAnsi="Times New Roman" w:eastAsia="Times New Roman" w:cs="Times New Roman"/>
          <w:i/>
          <w:color w:val="000000"/>
          <w:kern w:val="2"/>
        </w:rPr>
        <w:t>Department of Physics</w:t>
      </w:r>
      <w:r>
        <w:rPr>
          <w:rFonts w:ascii="Times New Roman" w:hAnsi="Times New Roman" w:eastAsia="Times New Roman"/>
          <w:i/>
          <w:color w:val="000000"/>
          <w:kern w:val="2"/>
        </w:rPr>
        <w:t>, Norwegian University of Science and Technology (NTNU), NO-7491</w:t>
      </w:r>
      <w:r>
        <w:rPr>
          <w:rFonts w:hint="default" w:ascii="Times New Roman" w:hAnsi="Times New Roman" w:eastAsia="Times New Roman"/>
          <w:i/>
          <w:color w:val="000000"/>
          <w:kern w:val="2"/>
          <w:lang w:val="en-GB"/>
        </w:rPr>
        <w:t xml:space="preserve">, </w:t>
      </w:r>
      <w:r>
        <w:rPr>
          <w:rFonts w:ascii="Times New Roman" w:hAnsi="Times New Roman" w:eastAsia="Times New Roman" w:cs="Times New Roman"/>
          <w:i/>
          <w:color w:val="000000"/>
          <w:kern w:val="2"/>
        </w:rPr>
        <w:t>Trondheim, Norway.</w:t>
      </w:r>
    </w:p>
    <w:p w14:paraId="2A496DA5">
      <w:pPr>
        <w:spacing w:after="0" w:line="273" w:lineRule="auto"/>
        <w:ind w:right="520"/>
        <w:jc w:val="center"/>
        <w:rPr>
          <w:rFonts w:ascii="Times New Roman" w:hAnsi="Times New Roman" w:eastAsia="Times New Roman" w:cs="Times New Roman"/>
          <w:color w:val="000000"/>
          <w:kern w:val="2"/>
        </w:rPr>
      </w:pPr>
      <w:r>
        <w:rPr>
          <w:rFonts w:ascii="Times New Roman" w:hAnsi="Times New Roman" w:eastAsia="Times New Roman" w:cs="Times New Roman"/>
          <w:i/>
          <w:color w:val="000000"/>
          <w:kern w:val="2"/>
          <w:sz w:val="24"/>
          <w:vertAlign w:val="superscript"/>
        </w:rPr>
        <w:t>2</w:t>
      </w:r>
      <w:r>
        <w:rPr>
          <w:rFonts w:ascii="Times New Roman" w:hAnsi="Times New Roman" w:eastAsia="Times New Roman" w:cs="Times New Roman"/>
          <w:i/>
          <w:color w:val="000000"/>
          <w:kern w:val="2"/>
        </w:rPr>
        <w:t>Hunan University, Changsha, 410082, China.</w:t>
      </w:r>
    </w:p>
    <w:p w14:paraId="5E002C54">
      <w:pPr>
        <w:jc w:val="center"/>
        <w:rPr>
          <w:rFonts w:hint="eastAsia" w:ascii="Times New Roman" w:hAnsi="Times New Roman" w:eastAsia="SimSun" w:cs="Times New Roman"/>
          <w:i/>
          <w:color w:val="000000"/>
          <w:kern w:val="2"/>
          <w:lang w:val="en-US" w:eastAsia="zh-CN"/>
        </w:rPr>
      </w:pPr>
      <w:r>
        <w:rPr>
          <w:rFonts w:ascii="Times New Roman" w:hAnsi="Times New Roman" w:eastAsia="Times New Roman" w:cs="Times New Roman"/>
          <w:i/>
          <w:color w:val="000000"/>
          <w:kern w:val="2"/>
          <w:sz w:val="24"/>
          <w:vertAlign w:val="superscript"/>
        </w:rPr>
        <w:t>3</w:t>
      </w:r>
      <w:r>
        <w:rPr>
          <w:rFonts w:ascii="Times New Roman" w:hAnsi="Times New Roman" w:eastAsia="Times New Roman" w:cs="Times New Roman"/>
          <w:i/>
          <w:color w:val="000000"/>
          <w:kern w:val="2"/>
        </w:rPr>
        <w:t>Semiconductor Physics, Department of Physics, University of Oslo (UiO), NO-0371 Oslo, Norway</w:t>
      </w:r>
      <w:r>
        <w:rPr>
          <w:rFonts w:hint="eastAsia" w:ascii="Times New Roman" w:hAnsi="Times New Roman" w:eastAsia="SimSun" w:cs="Times New Roman"/>
          <w:i/>
          <w:color w:val="000000"/>
          <w:kern w:val="2"/>
          <w:lang w:val="en-US" w:eastAsia="zh-CN"/>
        </w:rPr>
        <w:t>.</w:t>
      </w:r>
    </w:p>
    <w:p w14:paraId="47A4A6B9">
      <w:pPr>
        <w:jc w:val="center"/>
        <w:rPr>
          <w:rFonts w:hint="eastAsia" w:ascii="Times New Roman" w:hAnsi="Times New Roman" w:eastAsia="SimSun" w:cs="Times New Roman"/>
          <w:i/>
          <w:color w:val="000000"/>
          <w:kern w:val="2"/>
          <w:lang w:val="en-US" w:eastAsia="zh-CN"/>
        </w:rPr>
      </w:pPr>
    </w:p>
    <w:p w14:paraId="1DFC6F4E">
      <w:pPr>
        <w:jc w:val="center"/>
        <w:rPr>
          <w:rFonts w:hint="eastAsia" w:ascii="Times New Roman" w:hAnsi="Times New Roman" w:eastAsia="SimSun" w:cs="Times New Roman"/>
          <w:i/>
          <w:color w:val="000000"/>
          <w:kern w:val="2"/>
          <w:lang w:val="en-US" w:eastAsia="zh-CN"/>
        </w:rPr>
      </w:pPr>
    </w:p>
    <w:p w14:paraId="47B1871B">
      <w:pPr>
        <w:jc w:val="left"/>
        <w:rPr>
          <w:rFonts w:hint="default"/>
          <w:sz w:val="24"/>
          <w:szCs w:val="24"/>
          <w:lang w:val="en-GB"/>
        </w:rPr>
      </w:pPr>
      <w:bookmarkStart w:id="0" w:name="_GoBack"/>
      <w:r>
        <w:rPr>
          <w:rFonts w:hint="default"/>
          <w:b/>
          <w:bCs/>
          <w:sz w:val="24"/>
          <w:szCs w:val="24"/>
        </w:rPr>
        <w:t>Supplementary</w:t>
      </w:r>
      <w:bookmarkEnd w:id="0"/>
      <w:r>
        <w:rPr>
          <w:rFonts w:hint="default"/>
          <w:b/>
          <w:bCs/>
          <w:sz w:val="24"/>
          <w:szCs w:val="24"/>
        </w:rPr>
        <w:t xml:space="preserve"> Figure 1:</w:t>
      </w:r>
      <w:r>
        <w:rPr>
          <w:rFonts w:hint="default"/>
          <w:sz w:val="24"/>
          <w:szCs w:val="24"/>
        </w:rPr>
        <w:t xml:space="preserve"> </w:t>
      </w:r>
      <w:r>
        <w:rPr>
          <w:rFonts w:hint="default"/>
          <w:sz w:val="24"/>
          <w:szCs w:val="24"/>
          <w:lang w:val="en-GB"/>
        </w:rPr>
        <w:t>Experimental confirmation</w:t>
      </w:r>
      <w:r>
        <w:rPr>
          <w:rFonts w:hint="default"/>
          <w:sz w:val="24"/>
          <w:szCs w:val="24"/>
        </w:rPr>
        <w:t xml:space="preserve"> of the clean </w:t>
      </w:r>
      <w:r>
        <w:rPr>
          <w:rFonts w:hint="default"/>
          <w:sz w:val="24"/>
          <w:szCs w:val="24"/>
          <w:lang w:val="en-GB"/>
        </w:rPr>
        <w:t xml:space="preserve">Au(111) </w:t>
      </w:r>
      <w:r>
        <w:rPr>
          <w:rFonts w:hint="default"/>
          <w:sz w:val="24"/>
          <w:szCs w:val="24"/>
        </w:rPr>
        <w:t>surface</w:t>
      </w:r>
      <w:r>
        <w:rPr>
          <w:rFonts w:hint="default"/>
          <w:sz w:val="24"/>
          <w:szCs w:val="24"/>
          <w:lang w:val="en-GB"/>
        </w:rPr>
        <w:t>.</w:t>
      </w:r>
    </w:p>
    <w:p w14:paraId="40282A48">
      <w:pPr>
        <w:jc w:val="left"/>
        <w:rPr>
          <w:rFonts w:hint="default"/>
          <w:b/>
          <w:bCs/>
          <w:sz w:val="24"/>
          <w:szCs w:val="24"/>
          <w:lang w:val="en-GB"/>
        </w:rPr>
      </w:pPr>
      <w:r>
        <w:rPr>
          <w:rFonts w:hint="default"/>
          <w:b/>
          <w:bCs/>
          <w:sz w:val="24"/>
          <w:szCs w:val="24"/>
        </w:rPr>
        <w:t xml:space="preserve">Supplementary Figure </w:t>
      </w:r>
      <w:r>
        <w:rPr>
          <w:rFonts w:hint="default"/>
          <w:b/>
          <w:bCs/>
          <w:sz w:val="24"/>
          <w:szCs w:val="24"/>
          <w:lang w:val="en-GB"/>
        </w:rPr>
        <w:t>2</w:t>
      </w:r>
      <w:r>
        <w:rPr>
          <w:rFonts w:hint="default"/>
          <w:b/>
          <w:bCs/>
          <w:sz w:val="24"/>
          <w:szCs w:val="24"/>
        </w:rPr>
        <w:t>:</w:t>
      </w:r>
      <w:r>
        <w:rPr>
          <w:rFonts w:hint="default"/>
          <w:b/>
          <w:bCs/>
          <w:sz w:val="24"/>
          <w:szCs w:val="24"/>
          <w:lang w:val="en-GB"/>
        </w:rPr>
        <w:t xml:space="preserve"> </w:t>
      </w:r>
      <w:r>
        <w:rPr>
          <w:rFonts w:hint="default"/>
          <w:b w:val="0"/>
          <w:bCs w:val="0"/>
          <w:sz w:val="24"/>
          <w:szCs w:val="24"/>
          <w:lang w:val="en-GB"/>
        </w:rPr>
        <w:t>Characterization of structural phase of the Sb/Au(111) interface.</w:t>
      </w:r>
    </w:p>
    <w:p w14:paraId="22213CF5">
      <w:pPr>
        <w:jc w:val="left"/>
        <w:rPr>
          <w:rFonts w:hint="default"/>
          <w:b/>
          <w:bCs/>
          <w:sz w:val="24"/>
          <w:szCs w:val="24"/>
          <w:lang w:val="en-GB"/>
        </w:rPr>
      </w:pPr>
      <w:r>
        <w:rPr>
          <w:rFonts w:hint="default"/>
          <w:b/>
          <w:bCs/>
          <w:sz w:val="24"/>
          <w:szCs w:val="24"/>
        </w:rPr>
        <w:t xml:space="preserve">Supplementary Figure </w:t>
      </w:r>
      <w:r>
        <w:rPr>
          <w:rFonts w:hint="default"/>
          <w:b/>
          <w:bCs/>
          <w:sz w:val="24"/>
          <w:szCs w:val="24"/>
          <w:lang w:val="en-GB"/>
        </w:rPr>
        <w:t>3</w:t>
      </w:r>
      <w:r>
        <w:rPr>
          <w:rFonts w:hint="default"/>
          <w:b/>
          <w:bCs/>
          <w:sz w:val="24"/>
          <w:szCs w:val="24"/>
        </w:rPr>
        <w:t>:</w:t>
      </w:r>
      <w:r>
        <w:rPr>
          <w:rFonts w:hint="default"/>
          <w:b w:val="0"/>
          <w:bCs w:val="0"/>
          <w:sz w:val="24"/>
          <w:szCs w:val="24"/>
          <w:lang w:val="en-GB"/>
        </w:rPr>
        <w:t xml:space="preserve"> ARPES imaging the Rashba-type band feature S</w:t>
      </w:r>
      <w:r>
        <w:rPr>
          <w:rFonts w:hint="default"/>
          <w:b w:val="0"/>
          <w:bCs w:val="0"/>
          <w:sz w:val="24"/>
          <w:szCs w:val="24"/>
          <w:vertAlign w:val="subscript"/>
          <w:lang w:val="en-GB"/>
        </w:rPr>
        <w:t>1</w:t>
      </w:r>
      <w:r>
        <w:rPr>
          <w:rFonts w:hint="default"/>
          <w:b w:val="0"/>
          <w:bCs w:val="0"/>
          <w:sz w:val="24"/>
          <w:szCs w:val="24"/>
          <w:lang w:val="en-GB"/>
        </w:rPr>
        <w:t>.</w:t>
      </w:r>
    </w:p>
    <w:p w14:paraId="53722F78">
      <w:pPr>
        <w:jc w:val="left"/>
        <w:rPr>
          <w:rFonts w:hint="default"/>
          <w:b w:val="0"/>
          <w:bCs w:val="0"/>
          <w:sz w:val="24"/>
          <w:szCs w:val="24"/>
          <w:lang w:val="en-GB"/>
        </w:rPr>
      </w:pPr>
      <w:r>
        <w:rPr>
          <w:rFonts w:hint="default"/>
          <w:b/>
          <w:bCs/>
          <w:sz w:val="24"/>
          <w:szCs w:val="24"/>
        </w:rPr>
        <w:t xml:space="preserve">Supplementary Figure </w:t>
      </w:r>
      <w:r>
        <w:rPr>
          <w:rFonts w:hint="default"/>
          <w:b/>
          <w:bCs/>
          <w:sz w:val="24"/>
          <w:szCs w:val="24"/>
          <w:lang w:val="en-GB"/>
        </w:rPr>
        <w:t>4</w:t>
      </w:r>
      <w:r>
        <w:rPr>
          <w:rFonts w:hint="default"/>
          <w:b/>
          <w:bCs/>
          <w:sz w:val="24"/>
          <w:szCs w:val="24"/>
        </w:rPr>
        <w:t>:</w:t>
      </w:r>
      <w:r>
        <w:rPr>
          <w:rFonts w:hint="default"/>
          <w:b w:val="0"/>
          <w:bCs w:val="0"/>
          <w:sz w:val="24"/>
          <w:szCs w:val="24"/>
          <w:lang w:val="en-GB"/>
        </w:rPr>
        <w:t xml:space="preserve"> Calculated band structure of the Sb/Au(111) interface with a </w:t>
      </w:r>
      <m:oMath>
        <m:rad>
          <m:radPr>
            <m:degHide m:val="1"/>
            <m:ctrlPr>
              <w:rPr>
                <w:rFonts w:hint="default" w:ascii="Cambria Math" w:hAnsi="Cambria Math"/>
                <w:b w:val="0"/>
                <w:bCs w:val="0"/>
                <w:sz w:val="24"/>
                <w:szCs w:val="24"/>
                <w:lang w:val="en-GB"/>
              </w:rPr>
            </m:ctrlPr>
          </m:radPr>
          <m:deg>
            <m:ctrlPr>
              <w:rPr>
                <w:rFonts w:hint="default" w:ascii="Cambria Math" w:hAnsi="Cambria Math"/>
                <w:b w:val="0"/>
                <w:bCs w:val="0"/>
                <w:sz w:val="24"/>
                <w:szCs w:val="24"/>
                <w:lang w:val="en-GB"/>
              </w:rPr>
            </m:ctrlPr>
          </m:deg>
          <m:e>
            <m:r>
              <m:rPr>
                <m:sty m:val="p"/>
              </m:rPr>
              <w:rPr>
                <w:rFonts w:hint="default" w:ascii="Cambria Math" w:hAnsi="Cambria Math"/>
                <w:sz w:val="24"/>
                <w:szCs w:val="24"/>
                <w:lang w:val="en-GB"/>
              </w:rPr>
              <m:t>3</m:t>
            </m:r>
            <m:ctrlPr>
              <w:rPr>
                <w:rFonts w:hint="default" w:ascii="Cambria Math" w:hAnsi="Cambria Math"/>
                <w:b w:val="0"/>
                <w:bCs w:val="0"/>
                <w:sz w:val="24"/>
                <w:szCs w:val="24"/>
                <w:lang w:val="en-GB"/>
              </w:rPr>
            </m:ctrlPr>
          </m:e>
        </m:rad>
        <m:r>
          <m:rPr>
            <m:sty m:val="p"/>
          </m:rPr>
          <w:rPr>
            <w:rFonts w:hint="default" w:ascii="Cambria Math" w:hAnsi="Cambria Math"/>
            <w:sz w:val="24"/>
            <w:szCs w:val="24"/>
            <w:lang w:val="en-GB"/>
          </w:rPr>
          <m:t>×</m:t>
        </m:r>
        <m:rad>
          <m:radPr>
            <m:degHide m:val="1"/>
            <m:ctrlPr>
              <w:rPr>
                <w:rFonts w:hint="default" w:ascii="Cambria Math" w:hAnsi="Cambria Math"/>
                <w:b w:val="0"/>
                <w:bCs w:val="0"/>
                <w:sz w:val="24"/>
                <w:szCs w:val="24"/>
                <w:lang w:val="en-GB"/>
              </w:rPr>
            </m:ctrlPr>
          </m:radPr>
          <m:deg>
            <m:ctrlPr>
              <w:rPr>
                <w:rFonts w:hint="default" w:ascii="Cambria Math" w:hAnsi="Cambria Math"/>
                <w:b w:val="0"/>
                <w:bCs w:val="0"/>
                <w:sz w:val="24"/>
                <w:szCs w:val="24"/>
                <w:lang w:val="en-GB"/>
              </w:rPr>
            </m:ctrlPr>
          </m:deg>
          <m:e>
            <m:r>
              <m:rPr>
                <m:sty m:val="p"/>
              </m:rPr>
              <w:rPr>
                <w:rFonts w:hint="default" w:ascii="Cambria Math" w:hAnsi="Cambria Math"/>
                <w:sz w:val="24"/>
                <w:szCs w:val="24"/>
                <w:lang w:val="en-GB"/>
              </w:rPr>
              <m:t>3</m:t>
            </m:r>
            <m:ctrlPr>
              <w:rPr>
                <w:rFonts w:hint="default" w:ascii="Cambria Math" w:hAnsi="Cambria Math"/>
                <w:b w:val="0"/>
                <w:bCs w:val="0"/>
                <w:sz w:val="24"/>
                <w:szCs w:val="24"/>
                <w:lang w:val="en-GB"/>
              </w:rPr>
            </m:ctrlPr>
          </m:e>
        </m:rad>
      </m:oMath>
      <w:r>
        <w:rPr>
          <w:rFonts w:hint="default"/>
          <w:b w:val="0"/>
          <w:bCs w:val="0"/>
          <w:sz w:val="24"/>
          <w:szCs w:val="24"/>
          <w:lang w:val="en-GB"/>
        </w:rPr>
        <w:t xml:space="preserve"> surface reconstruction.</w:t>
      </w:r>
    </w:p>
    <w:p w14:paraId="541683D9">
      <w:pPr>
        <w:jc w:val="left"/>
        <w:rPr>
          <w:rFonts w:hint="default"/>
          <w:b w:val="0"/>
          <w:bCs w:val="0"/>
          <w:sz w:val="24"/>
          <w:szCs w:val="24"/>
          <w:lang w:val="en-GB"/>
        </w:rPr>
      </w:pPr>
    </w:p>
    <w:p w14:paraId="007B1155">
      <w:pPr>
        <w:jc w:val="left"/>
        <w:rPr>
          <w:rFonts w:hint="default"/>
          <w:b w:val="0"/>
          <w:bCs w:val="0"/>
          <w:sz w:val="24"/>
          <w:szCs w:val="24"/>
          <w:lang w:val="en-GB"/>
        </w:rPr>
      </w:pPr>
    </w:p>
    <w:p w14:paraId="60B70A0F">
      <w:pPr>
        <w:jc w:val="left"/>
        <w:rPr>
          <w:rFonts w:hint="default"/>
          <w:b w:val="0"/>
          <w:bCs w:val="0"/>
          <w:sz w:val="24"/>
          <w:szCs w:val="24"/>
          <w:lang w:val="en-GB"/>
        </w:rPr>
      </w:pPr>
    </w:p>
    <w:p w14:paraId="0525C8CA">
      <w:pPr>
        <w:jc w:val="left"/>
        <w:rPr>
          <w:rFonts w:hint="default"/>
          <w:b w:val="0"/>
          <w:bCs w:val="0"/>
          <w:sz w:val="24"/>
          <w:szCs w:val="24"/>
          <w:lang w:val="en-GB"/>
        </w:rPr>
      </w:pPr>
    </w:p>
    <w:p w14:paraId="57B196B2">
      <w:pPr>
        <w:jc w:val="left"/>
        <w:rPr>
          <w:rFonts w:hint="default"/>
          <w:b w:val="0"/>
          <w:bCs w:val="0"/>
          <w:sz w:val="24"/>
          <w:szCs w:val="24"/>
          <w:lang w:val="en-GB"/>
        </w:rPr>
      </w:pPr>
    </w:p>
    <w:p w14:paraId="7942F4DA">
      <w:pPr>
        <w:jc w:val="left"/>
        <w:rPr>
          <w:rFonts w:hint="default"/>
          <w:b w:val="0"/>
          <w:bCs w:val="0"/>
          <w:sz w:val="24"/>
          <w:szCs w:val="24"/>
          <w:lang w:val="en-GB"/>
        </w:rPr>
      </w:pPr>
    </w:p>
    <w:p w14:paraId="47789FB7">
      <w:pPr>
        <w:jc w:val="left"/>
        <w:rPr>
          <w:rFonts w:hint="default"/>
          <w:b w:val="0"/>
          <w:bCs w:val="0"/>
          <w:sz w:val="24"/>
          <w:szCs w:val="24"/>
          <w:lang w:val="en-GB"/>
        </w:rPr>
      </w:pPr>
    </w:p>
    <w:p w14:paraId="7769B915">
      <w:pPr>
        <w:jc w:val="left"/>
        <w:rPr>
          <w:rFonts w:hint="default"/>
          <w:b w:val="0"/>
          <w:bCs w:val="0"/>
          <w:sz w:val="24"/>
          <w:szCs w:val="24"/>
          <w:lang w:val="en-GB"/>
        </w:rPr>
      </w:pPr>
    </w:p>
    <w:p w14:paraId="09996ED4">
      <w:pPr>
        <w:jc w:val="left"/>
        <w:rPr>
          <w:rFonts w:hint="default"/>
          <w:b w:val="0"/>
          <w:bCs w:val="0"/>
          <w:sz w:val="24"/>
          <w:szCs w:val="24"/>
          <w:lang w:val="en-GB"/>
        </w:rPr>
      </w:pPr>
    </w:p>
    <w:p w14:paraId="0098E291">
      <w:pPr>
        <w:rPr>
          <w:sz w:val="24"/>
          <w:szCs w:val="24"/>
          <w:lang w:val="el-GR"/>
        </w:rPr>
      </w:pPr>
      <w:r>
        <w:rPr>
          <w:sz w:val="24"/>
          <w:szCs w:val="24"/>
          <w:lang w:val="el-GR"/>
        </w:rPr>
        <w:drawing>
          <wp:inline distT="0" distB="0" distL="114300" distR="114300">
            <wp:extent cx="5727065" cy="2076450"/>
            <wp:effectExtent l="0" t="0" r="6985" b="0"/>
            <wp:docPr id="1" name="Picture 1" descr="Figure1s_20240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Figure1s_20240702"/>
                    <pic:cNvPicPr>
                      <a:picLocks noChangeAspect="1"/>
                    </pic:cNvPicPr>
                  </pic:nvPicPr>
                  <pic:blipFill>
                    <a:blip r:embed="rId6"/>
                    <a:stretch>
                      <a:fillRect/>
                    </a:stretch>
                  </pic:blipFill>
                  <pic:spPr>
                    <a:xfrm>
                      <a:off x="0" y="0"/>
                      <a:ext cx="5727065" cy="2076450"/>
                    </a:xfrm>
                    <a:prstGeom prst="rect">
                      <a:avLst/>
                    </a:prstGeom>
                  </pic:spPr>
                </pic:pic>
              </a:graphicData>
            </a:graphic>
          </wp:inline>
        </w:drawing>
      </w:r>
    </w:p>
    <w:p w14:paraId="04387A4B">
      <w:pPr>
        <w:jc w:val="both"/>
        <w:rPr>
          <w:sz w:val="18"/>
          <w:szCs w:val="18"/>
        </w:rPr>
      </w:pPr>
      <w:r>
        <w:rPr>
          <w:b/>
          <w:bCs/>
          <w:sz w:val="18"/>
          <w:szCs w:val="18"/>
          <w:lang w:val="en-GB"/>
        </w:rPr>
        <w:t>Fig</w:t>
      </w:r>
      <w:r>
        <w:rPr>
          <w:rFonts w:hint="default"/>
          <w:b/>
          <w:bCs/>
          <w:sz w:val="18"/>
          <w:szCs w:val="18"/>
          <w:lang w:val="en-GB"/>
        </w:rPr>
        <w:t>ure</w:t>
      </w:r>
      <w:r>
        <w:rPr>
          <w:b/>
          <w:bCs/>
          <w:sz w:val="18"/>
          <w:szCs w:val="18"/>
          <w:lang w:val="en-GB"/>
        </w:rPr>
        <w:t xml:space="preserve"> S</w:t>
      </w:r>
      <w:r>
        <w:rPr>
          <w:b/>
          <w:bCs/>
          <w:sz w:val="18"/>
          <w:szCs w:val="18"/>
        </w:rPr>
        <w:t>1</w:t>
      </w:r>
      <w:r>
        <w:rPr>
          <w:rFonts w:hint="default"/>
          <w:b/>
          <w:bCs/>
          <w:sz w:val="18"/>
          <w:szCs w:val="18"/>
          <w:lang w:val="en-GB"/>
        </w:rPr>
        <w:t>.</w:t>
      </w:r>
      <w:r>
        <w:rPr>
          <w:b/>
          <w:bCs/>
          <w:sz w:val="18"/>
          <w:szCs w:val="18"/>
        </w:rPr>
        <w:t xml:space="preserve"> </w:t>
      </w:r>
      <w:r>
        <w:rPr>
          <w:rFonts w:hint="default"/>
          <w:b/>
          <w:bCs/>
          <w:sz w:val="18"/>
          <w:szCs w:val="18"/>
        </w:rPr>
        <w:t>Experimental confirmation of the clean Au(111) surface.</w:t>
      </w:r>
      <w:r>
        <w:rPr>
          <w:rFonts w:hint="default"/>
          <w:sz w:val="18"/>
          <w:szCs w:val="18"/>
          <w:lang w:val="en-GB"/>
        </w:rPr>
        <w:t xml:space="preserve"> </w:t>
      </w:r>
      <w:r>
        <w:rPr>
          <w:sz w:val="18"/>
          <w:szCs w:val="18"/>
        </w:rPr>
        <w:t>(a) LEED</w:t>
      </w:r>
      <w:r>
        <w:rPr>
          <w:color w:val="auto"/>
          <w:sz w:val="18"/>
          <w:szCs w:val="18"/>
        </w:rPr>
        <w:t xml:space="preserve"> pattern (60</w:t>
      </w:r>
      <w:r>
        <w:rPr>
          <w:rFonts w:hint="default"/>
          <w:color w:val="auto"/>
          <w:sz w:val="18"/>
          <w:szCs w:val="18"/>
          <w:lang w:val="en-GB"/>
        </w:rPr>
        <w:t xml:space="preserve"> </w:t>
      </w:r>
      <w:r>
        <w:rPr>
          <w:color w:val="auto"/>
          <w:sz w:val="18"/>
          <w:szCs w:val="18"/>
        </w:rPr>
        <w:t>eV) of the clean Au(111) substrate. (b) ARPES data of the constant energy contour throughout the Au(111) SBZ at</w:t>
      </w:r>
      <w:r>
        <w:rPr>
          <w:rFonts w:hint="default"/>
          <w:color w:val="auto"/>
          <w:sz w:val="18"/>
          <w:szCs w:val="18"/>
          <w:lang w:val="en-GB"/>
        </w:rPr>
        <w:t xml:space="preserve"> </w:t>
      </w:r>
      <w:r>
        <w:rPr>
          <w:color w:val="auto"/>
          <w:sz w:val="18"/>
          <w:szCs w:val="18"/>
        </w:rPr>
        <w:t xml:space="preserve"> </w:t>
      </w:r>
      <m:oMath>
        <m:sSub>
          <m:sSubPr>
            <m:ctrlPr>
              <w:rPr>
                <w:rFonts w:ascii="Cambria Math" w:hAnsi="Cambria Math"/>
                <w:i/>
                <w:color w:val="auto"/>
                <w:sz w:val="18"/>
                <w:szCs w:val="18"/>
              </w:rPr>
            </m:ctrlPr>
          </m:sSubPr>
          <m:e>
            <m:r>
              <m:rPr/>
              <w:rPr>
                <w:rFonts w:ascii="Cambria Math" w:hAnsi="Cambria Math"/>
                <w:color w:val="auto"/>
                <w:sz w:val="18"/>
                <w:szCs w:val="18"/>
              </w:rPr>
              <m:t>E</m:t>
            </m:r>
            <m:ctrlPr>
              <w:rPr>
                <w:rFonts w:ascii="Cambria Math" w:hAnsi="Cambria Math"/>
                <w:i/>
                <w:color w:val="auto"/>
                <w:sz w:val="18"/>
                <w:szCs w:val="18"/>
              </w:rPr>
            </m:ctrlPr>
          </m:e>
          <m:sub>
            <m:r>
              <m:rPr/>
              <w:rPr>
                <w:rFonts w:ascii="Cambria Math" w:hAnsi="Cambria Math"/>
                <w:color w:val="auto"/>
                <w:sz w:val="18"/>
                <w:szCs w:val="18"/>
                <w:vertAlign w:val="subscript"/>
              </w:rPr>
              <m:t>b</m:t>
            </m:r>
            <m:ctrlPr>
              <w:rPr>
                <w:rFonts w:ascii="Cambria Math" w:hAnsi="Cambria Math"/>
                <w:i/>
                <w:color w:val="auto"/>
                <w:sz w:val="18"/>
                <w:szCs w:val="18"/>
              </w:rPr>
            </m:ctrlPr>
          </m:sub>
        </m:sSub>
        <m:r>
          <m:rPr/>
          <w:rPr>
            <w:rFonts w:ascii="Cambria Math" w:hAnsi="Cambria Math"/>
            <w:color w:val="auto"/>
            <w:sz w:val="18"/>
            <w:szCs w:val="18"/>
          </w:rPr>
          <m:t>=</m:t>
        </m:r>
        <m:r>
          <m:rPr/>
          <w:rPr>
            <w:rFonts w:hint="default" w:ascii="Cambria Math" w:hAnsi="Cambria Math"/>
            <w:color w:val="auto"/>
            <w:sz w:val="18"/>
            <w:szCs w:val="18"/>
            <w:lang w:val="en-GB"/>
          </w:rPr>
          <m:t>0.1</m:t>
        </m:r>
      </m:oMath>
      <w:r>
        <w:rPr>
          <w:rFonts w:ascii="Times New Roman" w:hAnsi="Cambria Math"/>
          <w:color w:val="auto"/>
          <w:sz w:val="18"/>
          <w:szCs w:val="18"/>
        </w:rPr>
        <w:t xml:space="preserve"> </w:t>
      </w:r>
      <w:r>
        <w:rPr>
          <w:color w:val="auto"/>
          <w:sz w:val="18"/>
          <w:szCs w:val="18"/>
        </w:rPr>
        <w:t>eV.</w:t>
      </w:r>
    </w:p>
    <w:p w14:paraId="05B849C5">
      <w:pPr>
        <w:rPr>
          <w:sz w:val="24"/>
          <w:szCs w:val="24"/>
        </w:rPr>
      </w:pPr>
    </w:p>
    <w:p w14:paraId="09F2C439">
      <w:pPr>
        <w:rPr>
          <w:rFonts w:hint="default"/>
          <w:sz w:val="24"/>
          <w:szCs w:val="24"/>
          <w:lang w:val="en-GB"/>
        </w:rPr>
      </w:pPr>
      <w:r>
        <w:rPr>
          <w:rFonts w:hint="default"/>
          <w:sz w:val="24"/>
          <w:szCs w:val="24"/>
          <w:lang w:val="en-GB"/>
        </w:rPr>
        <w:drawing>
          <wp:inline distT="0" distB="0" distL="114300" distR="114300">
            <wp:extent cx="5727065" cy="3321685"/>
            <wp:effectExtent l="0" t="0" r="6985" b="2540"/>
            <wp:docPr id="3" name="Picture 3" descr="Figure2s_202408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Figure2s_20240802"/>
                    <pic:cNvPicPr>
                      <a:picLocks noChangeAspect="1"/>
                    </pic:cNvPicPr>
                  </pic:nvPicPr>
                  <pic:blipFill>
                    <a:blip r:embed="rId7"/>
                    <a:stretch>
                      <a:fillRect/>
                    </a:stretch>
                  </pic:blipFill>
                  <pic:spPr>
                    <a:xfrm>
                      <a:off x="0" y="0"/>
                      <a:ext cx="5727065" cy="3321685"/>
                    </a:xfrm>
                    <a:prstGeom prst="rect">
                      <a:avLst/>
                    </a:prstGeom>
                  </pic:spPr>
                </pic:pic>
              </a:graphicData>
            </a:graphic>
          </wp:inline>
        </w:drawing>
      </w:r>
    </w:p>
    <w:p w14:paraId="415E7502">
      <w:pPr>
        <w:jc w:val="both"/>
        <w:rPr>
          <w:sz w:val="18"/>
          <w:szCs w:val="18"/>
        </w:rPr>
      </w:pPr>
      <w:r>
        <w:rPr>
          <w:b/>
          <w:bCs/>
          <w:sz w:val="18"/>
          <w:szCs w:val="18"/>
          <w:lang w:val="en-GB"/>
        </w:rPr>
        <w:t>Fig</w:t>
      </w:r>
      <w:r>
        <w:rPr>
          <w:rFonts w:hint="default"/>
          <w:b/>
          <w:bCs/>
          <w:sz w:val="18"/>
          <w:szCs w:val="18"/>
          <w:lang w:val="en-GB"/>
        </w:rPr>
        <w:t>ure</w:t>
      </w:r>
      <w:r>
        <w:rPr>
          <w:b/>
          <w:bCs/>
          <w:sz w:val="18"/>
          <w:szCs w:val="18"/>
          <w:lang w:val="en-GB"/>
        </w:rPr>
        <w:t xml:space="preserve"> S</w:t>
      </w:r>
      <w:r>
        <w:rPr>
          <w:b/>
          <w:bCs/>
          <w:sz w:val="18"/>
          <w:szCs w:val="18"/>
        </w:rPr>
        <w:t>2</w:t>
      </w:r>
      <w:r>
        <w:rPr>
          <w:rFonts w:hint="default"/>
          <w:b/>
          <w:bCs/>
          <w:sz w:val="18"/>
          <w:szCs w:val="18"/>
          <w:lang w:val="en-GB"/>
        </w:rPr>
        <w:t>.</w:t>
      </w:r>
      <w:r>
        <w:rPr>
          <w:b/>
          <w:bCs/>
          <w:sz w:val="18"/>
          <w:szCs w:val="18"/>
        </w:rPr>
        <w:t xml:space="preserve"> </w:t>
      </w:r>
      <w:r>
        <w:rPr>
          <w:rFonts w:hint="default"/>
          <w:b/>
          <w:bCs/>
          <w:sz w:val="18"/>
          <w:szCs w:val="18"/>
        </w:rPr>
        <w:t>Characterization of</w:t>
      </w:r>
      <w:r>
        <w:rPr>
          <w:rFonts w:hint="default"/>
          <w:b/>
          <w:bCs/>
          <w:sz w:val="18"/>
          <w:szCs w:val="18"/>
          <w:lang w:val="en-GB"/>
        </w:rPr>
        <w:t xml:space="preserve"> s</w:t>
      </w:r>
      <w:r>
        <w:rPr>
          <w:rFonts w:hint="default"/>
          <w:b/>
          <w:bCs/>
          <w:sz w:val="18"/>
          <w:szCs w:val="18"/>
        </w:rPr>
        <w:t xml:space="preserve">tructural phase of </w:t>
      </w:r>
      <w:r>
        <w:rPr>
          <w:rFonts w:hint="default"/>
          <w:b/>
          <w:bCs/>
          <w:sz w:val="18"/>
          <w:szCs w:val="18"/>
          <w:lang w:val="en-GB"/>
        </w:rPr>
        <w:t>the Sb</w:t>
      </w:r>
      <w:r>
        <w:rPr>
          <w:rFonts w:hint="default"/>
          <w:b/>
          <w:bCs/>
          <w:sz w:val="18"/>
          <w:szCs w:val="18"/>
        </w:rPr>
        <w:t>/Au(111) interface</w:t>
      </w:r>
      <w:r>
        <w:rPr>
          <w:rFonts w:hint="default"/>
          <w:b/>
          <w:bCs/>
          <w:sz w:val="18"/>
          <w:szCs w:val="18"/>
          <w:lang w:val="en-GB"/>
        </w:rPr>
        <w:t>.</w:t>
      </w:r>
      <w:r>
        <w:rPr>
          <w:rFonts w:hint="default"/>
          <w:sz w:val="18"/>
          <w:szCs w:val="18"/>
          <w:lang w:val="en-GB"/>
        </w:rPr>
        <w:t xml:space="preserve"> </w:t>
      </w:r>
      <w:r>
        <w:rPr>
          <w:sz w:val="18"/>
          <w:szCs w:val="18"/>
        </w:rPr>
        <w:t>(a) LEED pattern (60</w:t>
      </w:r>
      <w:r>
        <w:rPr>
          <w:rFonts w:hint="default"/>
          <w:sz w:val="18"/>
          <w:szCs w:val="18"/>
          <w:lang w:val="en-GB"/>
        </w:rPr>
        <w:t xml:space="preserve"> </w:t>
      </w:r>
      <w:r>
        <w:rPr>
          <w:sz w:val="18"/>
          <w:szCs w:val="18"/>
        </w:rPr>
        <w:t>eV) of a Sb monolayer grown on the Au(111) substrate. The unit cell of 2D Sb is proposed and highlighted by yellow dashed lines. (b) LEED pattern (60</w:t>
      </w:r>
      <w:r>
        <w:rPr>
          <w:rFonts w:hint="default"/>
          <w:sz w:val="18"/>
          <w:szCs w:val="18"/>
          <w:lang w:val="en-GB"/>
        </w:rPr>
        <w:t xml:space="preserve"> </w:t>
      </w:r>
      <w:r>
        <w:rPr>
          <w:sz w:val="18"/>
          <w:szCs w:val="18"/>
        </w:rPr>
        <w:t>eV) of the Au</w:t>
      </w:r>
      <w:r>
        <w:rPr>
          <w:sz w:val="18"/>
          <w:szCs w:val="18"/>
          <w:vertAlign w:val="subscript"/>
        </w:rPr>
        <w:t>2</w:t>
      </w:r>
      <w:r>
        <w:rPr>
          <w:sz w:val="18"/>
          <w:szCs w:val="18"/>
        </w:rPr>
        <w:t xml:space="preserve">Sb surface alloy formed after 3min of Sb deposition at room temperature. The inset shows the details of the diffraction around the Au(1x1) diffraction spot, presenting an </w:t>
      </w:r>
      <m:oMath>
        <m:r>
          <m:rPr/>
          <w:rPr>
            <w:rFonts w:ascii="Cambria Math" w:hAnsi="Cambria Math"/>
            <w:sz w:val="18"/>
            <w:szCs w:val="18"/>
          </w:rPr>
          <m:t>8×8</m:t>
        </m:r>
      </m:oMath>
      <w:r>
        <w:rPr>
          <w:sz w:val="18"/>
          <w:szCs w:val="18"/>
        </w:rPr>
        <w:t xml:space="preserve"> superstructure. (c-d) Evolution of Au 4</w:t>
      </w:r>
      <w:r>
        <w:rPr>
          <w:i/>
          <w:iCs/>
          <w:sz w:val="18"/>
          <w:szCs w:val="18"/>
        </w:rPr>
        <w:t>f</w:t>
      </w:r>
      <w:r>
        <w:rPr>
          <w:sz w:val="18"/>
          <w:szCs w:val="18"/>
        </w:rPr>
        <w:t xml:space="preserve"> and Sb 3</w:t>
      </w:r>
      <w:r>
        <w:rPr>
          <w:i/>
          <w:iCs/>
          <w:sz w:val="18"/>
          <w:szCs w:val="18"/>
        </w:rPr>
        <w:t>d</w:t>
      </w:r>
      <w:r>
        <w:rPr>
          <w:sz w:val="18"/>
          <w:szCs w:val="18"/>
        </w:rPr>
        <w:t xml:space="preserve"> core level as a function of Sb coverage at room temperature.</w:t>
      </w:r>
    </w:p>
    <w:p w14:paraId="5FBB9BE0">
      <w:pPr>
        <w:jc w:val="both"/>
        <w:rPr>
          <w:sz w:val="24"/>
          <w:szCs w:val="24"/>
        </w:rPr>
      </w:pPr>
      <w:r>
        <w:rPr>
          <w:sz w:val="24"/>
          <w:szCs w:val="24"/>
        </w:rPr>
        <w:t xml:space="preserve">In </w:t>
      </w:r>
      <w:r>
        <w:rPr>
          <w:rFonts w:hint="default"/>
          <w:sz w:val="24"/>
          <w:szCs w:val="24"/>
        </w:rPr>
        <w:t>Supplementary</w:t>
      </w:r>
      <w:r>
        <w:rPr>
          <w:rFonts w:hint="eastAsia"/>
          <w:sz w:val="24"/>
          <w:szCs w:val="24"/>
          <w:lang w:val="en-US" w:eastAsia="zh-CN"/>
        </w:rPr>
        <w:t xml:space="preserve"> </w:t>
      </w:r>
      <w:r>
        <w:rPr>
          <w:sz w:val="24"/>
          <w:szCs w:val="24"/>
        </w:rPr>
        <w:t>Figure</w:t>
      </w:r>
      <w:r>
        <w:rPr>
          <w:rFonts w:hint="default"/>
          <w:sz w:val="24"/>
          <w:szCs w:val="24"/>
          <w:lang w:val="en-GB"/>
        </w:rPr>
        <w:t>s</w:t>
      </w:r>
      <w:r>
        <w:rPr>
          <w:sz w:val="24"/>
          <w:szCs w:val="24"/>
        </w:rPr>
        <w:t xml:space="preserve"> 2c-d, the Au 4</w:t>
      </w:r>
      <w:r>
        <w:rPr>
          <w:i/>
          <w:iCs/>
          <w:sz w:val="24"/>
          <w:szCs w:val="24"/>
        </w:rPr>
        <w:t>f</w:t>
      </w:r>
      <w:r>
        <w:rPr>
          <w:sz w:val="24"/>
          <w:szCs w:val="24"/>
        </w:rPr>
        <w:t xml:space="preserve"> and Sb 3</w:t>
      </w:r>
      <w:r>
        <w:rPr>
          <w:i/>
          <w:iCs/>
          <w:sz w:val="24"/>
          <w:szCs w:val="24"/>
        </w:rPr>
        <w:t>d</w:t>
      </w:r>
      <w:r>
        <w:rPr>
          <w:sz w:val="24"/>
          <w:szCs w:val="24"/>
        </w:rPr>
        <w:t xml:space="preserve"> core levels are presented to monitor the deposition of Sb onto the Au(111) substrate, transitioning from the clean surface to the formation of the Au</w:t>
      </w:r>
      <w:r>
        <w:rPr>
          <w:sz w:val="24"/>
          <w:szCs w:val="24"/>
          <w:vertAlign w:val="subscript"/>
        </w:rPr>
        <w:t>2</w:t>
      </w:r>
      <w:r>
        <w:rPr>
          <w:sz w:val="24"/>
          <w:szCs w:val="24"/>
        </w:rPr>
        <w:t>Sb surface alloy at room temperature. The Sb 3</w:t>
      </w:r>
      <w:r>
        <w:rPr>
          <w:i/>
          <w:iCs/>
          <w:sz w:val="24"/>
          <w:szCs w:val="24"/>
        </w:rPr>
        <w:t>d</w:t>
      </w:r>
      <w:r>
        <w:rPr>
          <w:sz w:val="24"/>
          <w:szCs w:val="24"/>
        </w:rPr>
        <w:t xml:space="preserve"> signal appears after 1.5 minutes of Sb deposition at room temperature. Concurrently, the Au 4</w:t>
      </w:r>
      <w:r>
        <w:rPr>
          <w:i/>
          <w:iCs/>
          <w:sz w:val="24"/>
          <w:szCs w:val="24"/>
        </w:rPr>
        <w:t>f</w:t>
      </w:r>
      <w:r>
        <w:rPr>
          <w:sz w:val="24"/>
          <w:szCs w:val="24"/>
        </w:rPr>
        <w:t xml:space="preserve"> core level shows alterations in both shape and energy. Our peak fitting of the Sb 3</w:t>
      </w:r>
      <w:r>
        <w:rPr>
          <w:i/>
          <w:iCs/>
          <w:sz w:val="24"/>
          <w:szCs w:val="24"/>
        </w:rPr>
        <w:t>d</w:t>
      </w:r>
      <w:r>
        <w:rPr>
          <w:sz w:val="24"/>
          <w:szCs w:val="24"/>
        </w:rPr>
        <w:t xml:space="preserve"> signal reveals two components. The high binding energy component might be attributed to Sb dimers formed above the Au</w:t>
      </w:r>
      <w:r>
        <w:rPr>
          <w:sz w:val="24"/>
          <w:szCs w:val="24"/>
          <w:vertAlign w:val="subscript"/>
        </w:rPr>
        <w:t>2</w:t>
      </w:r>
      <w:r>
        <w:rPr>
          <w:sz w:val="24"/>
          <w:szCs w:val="24"/>
        </w:rPr>
        <w:t>Sb surface alloy at low coverage, consistent with the STM observation in Ref.</w:t>
      </w:r>
      <w:r>
        <w:rPr>
          <w:sz w:val="24"/>
          <w:szCs w:val="24"/>
          <w:vertAlign w:val="superscript"/>
        </w:rPr>
        <w:t>s1</w:t>
      </w:r>
      <w:r>
        <w:rPr>
          <w:sz w:val="24"/>
          <w:szCs w:val="24"/>
        </w:rPr>
        <w:t xml:space="preserve"> The components at lower binding energies of 537.95 </w:t>
      </w:r>
      <w:r>
        <w:rPr>
          <w:rFonts w:hint="default"/>
          <w:sz w:val="24"/>
          <w:szCs w:val="24"/>
          <w:lang w:val="en-GB"/>
        </w:rPr>
        <w:t xml:space="preserve">eV </w:t>
      </w:r>
      <w:r>
        <w:rPr>
          <w:sz w:val="24"/>
          <w:szCs w:val="24"/>
        </w:rPr>
        <w:t>and 528.60 eV match well with the Au-Sb alloy signal, as discussed in the main text. Further Sb deposition on the Au surface enhances the Sb 3</w:t>
      </w:r>
      <w:r>
        <w:rPr>
          <w:i/>
          <w:iCs/>
          <w:sz w:val="24"/>
          <w:szCs w:val="24"/>
        </w:rPr>
        <w:t>d</w:t>
      </w:r>
      <w:r>
        <w:rPr>
          <w:sz w:val="24"/>
          <w:szCs w:val="24"/>
        </w:rPr>
        <w:t xml:space="preserve"> signal, with a more pronounced component from the surface alloy, while the higher binding energy shoulder diminishes. This change is attributed to the surface phase transition from Sb dimers to the Au</w:t>
      </w:r>
      <w:r>
        <w:rPr>
          <w:sz w:val="24"/>
          <w:szCs w:val="24"/>
          <w:vertAlign w:val="subscript"/>
        </w:rPr>
        <w:t>2</w:t>
      </w:r>
      <w:r>
        <w:rPr>
          <w:sz w:val="24"/>
          <w:szCs w:val="24"/>
        </w:rPr>
        <w:t>Sb surface alloy.</w:t>
      </w:r>
    </w:p>
    <w:p w14:paraId="3B57CB86">
      <w:pPr>
        <w:jc w:val="both"/>
        <w:rPr>
          <w:sz w:val="24"/>
          <w:szCs w:val="24"/>
        </w:rPr>
      </w:pPr>
      <w:r>
        <w:rPr>
          <w:sz w:val="24"/>
          <w:szCs w:val="24"/>
        </w:rPr>
        <w:t>The fitting of the Au 4</w:t>
      </w:r>
      <w:r>
        <w:rPr>
          <w:i/>
          <w:iCs/>
          <w:sz w:val="24"/>
          <w:szCs w:val="24"/>
        </w:rPr>
        <w:t>f</w:t>
      </w:r>
      <w:r>
        <w:rPr>
          <w:sz w:val="24"/>
          <w:szCs w:val="24"/>
        </w:rPr>
        <w:t xml:space="preserve"> core level indicates that the peak has a higher binding energy surface component, shifted by 0.5 eV from the bulk component. The surface component may result from the interaction between Au and Sb atoms in the surface alloy, and becomes consistently stronger as more Sb is deposited. The LEED pattern in </w:t>
      </w:r>
      <w:r>
        <w:rPr>
          <w:rFonts w:hint="default"/>
          <w:sz w:val="24"/>
          <w:szCs w:val="24"/>
          <w:lang w:val="en-GB"/>
        </w:rPr>
        <w:t>Supplementary</w:t>
      </w:r>
      <w:r>
        <w:rPr>
          <w:sz w:val="24"/>
          <w:szCs w:val="24"/>
          <w:lang w:val="en-GB"/>
        </w:rPr>
        <w:t xml:space="preserve"> Fig</w:t>
      </w:r>
      <w:r>
        <w:rPr>
          <w:rFonts w:hint="default"/>
          <w:sz w:val="24"/>
          <w:szCs w:val="24"/>
          <w:lang w:val="en-GB"/>
        </w:rPr>
        <w:t>ure</w:t>
      </w:r>
      <w:r>
        <w:rPr>
          <w:sz w:val="24"/>
          <w:szCs w:val="24"/>
          <w:lang w:val="en-GB"/>
        </w:rPr>
        <w:t xml:space="preserve"> </w:t>
      </w:r>
      <w:r>
        <w:rPr>
          <w:sz w:val="24"/>
          <w:szCs w:val="24"/>
        </w:rPr>
        <w:t xml:space="preserve">2b shows the </w:t>
      </w:r>
      <m:oMath>
        <m:r>
          <m:rPr/>
          <w:rPr>
            <w:rFonts w:ascii="Cambria Math" w:hAnsi="Cambria Math" w:cs="Calibri"/>
            <w:sz w:val="24"/>
            <w:szCs w:val="24"/>
          </w:rPr>
          <m:t>8×8</m:t>
        </m:r>
      </m:oMath>
      <w:r>
        <w:rPr>
          <w:sz w:val="24"/>
          <w:szCs w:val="24"/>
        </w:rPr>
        <w:t xml:space="preserve"> superstructure of the Au</w:t>
      </w:r>
      <w:r>
        <w:rPr>
          <w:sz w:val="24"/>
          <w:szCs w:val="24"/>
          <w:vertAlign w:val="subscript"/>
        </w:rPr>
        <w:t>2</w:t>
      </w:r>
      <w:r>
        <w:rPr>
          <w:sz w:val="24"/>
          <w:szCs w:val="24"/>
        </w:rPr>
        <w:t xml:space="preserve">Sb surface alloy, similar to the </w:t>
      </w:r>
      <m:oMath>
        <m:r>
          <m:rPr/>
          <w:rPr>
            <w:rFonts w:ascii="Cambria Math" w:hAnsi="Cambria Math" w:cs="Calibri"/>
            <w:sz w:val="24"/>
            <w:szCs w:val="24"/>
          </w:rPr>
          <m:t>8×8</m:t>
        </m:r>
      </m:oMath>
      <w:r>
        <w:rPr>
          <w:sz w:val="24"/>
          <w:szCs w:val="24"/>
        </w:rPr>
        <w:t xml:space="preserve"> superstructure formed by the 2D Sb(110) rhombohedral phase on the Au(111) surface upon annealing to 400 °C, as discussed in the main text.</w:t>
      </w:r>
    </w:p>
    <w:p w14:paraId="3227A3C7">
      <w:pPr>
        <w:rPr>
          <w:sz w:val="24"/>
          <w:szCs w:val="24"/>
        </w:rPr>
      </w:pPr>
    </w:p>
    <w:p w14:paraId="35C2E9CD">
      <w:pPr>
        <w:rPr>
          <w:sz w:val="24"/>
          <w:szCs w:val="24"/>
        </w:rPr>
      </w:pPr>
      <w:r>
        <w:rPr>
          <w:sz w:val="24"/>
          <w:szCs w:val="24"/>
        </w:rPr>
        <w:drawing>
          <wp:inline distT="0" distB="0" distL="114300" distR="114300">
            <wp:extent cx="5727065" cy="2903220"/>
            <wp:effectExtent l="0" t="0" r="6985" b="1905"/>
            <wp:docPr id="16" name="Picture 16" descr="C:\Users\NanoESCA\PaperSchedule\AuSbs3s3Paper\Supp\Figure3s_20240702.jpgFigure3s_20240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C:\Users\NanoESCA\PaperSchedule\AuSbs3s3Paper\Supp\Figure3s_20240702.jpgFigure3s_20240702"/>
                    <pic:cNvPicPr>
                      <a:picLocks noChangeAspect="1"/>
                    </pic:cNvPicPr>
                  </pic:nvPicPr>
                  <pic:blipFill>
                    <a:blip r:embed="rId8"/>
                    <a:srcRect t="2633" b="2633"/>
                    <a:stretch>
                      <a:fillRect/>
                    </a:stretch>
                  </pic:blipFill>
                  <pic:spPr>
                    <a:xfrm>
                      <a:off x="0" y="0"/>
                      <a:ext cx="5727065" cy="2903220"/>
                    </a:xfrm>
                    <a:prstGeom prst="rect">
                      <a:avLst/>
                    </a:prstGeom>
                  </pic:spPr>
                </pic:pic>
              </a:graphicData>
            </a:graphic>
          </wp:inline>
        </w:drawing>
      </w:r>
    </w:p>
    <w:p w14:paraId="11903584">
      <w:pPr>
        <w:jc w:val="both"/>
        <w:rPr>
          <w:sz w:val="18"/>
          <w:szCs w:val="18"/>
        </w:rPr>
      </w:pPr>
      <w:r>
        <w:rPr>
          <w:b/>
          <w:bCs/>
          <w:sz w:val="18"/>
          <w:szCs w:val="18"/>
          <w:lang w:val="en-GB"/>
        </w:rPr>
        <w:t>Fig</w:t>
      </w:r>
      <w:r>
        <w:rPr>
          <w:rFonts w:hint="default"/>
          <w:b/>
          <w:bCs/>
          <w:sz w:val="18"/>
          <w:szCs w:val="18"/>
          <w:lang w:val="en-GB"/>
        </w:rPr>
        <w:t>ure</w:t>
      </w:r>
      <w:r>
        <w:rPr>
          <w:b/>
          <w:bCs/>
          <w:sz w:val="18"/>
          <w:szCs w:val="18"/>
          <w:lang w:val="en-GB"/>
        </w:rPr>
        <w:t xml:space="preserve"> S</w:t>
      </w:r>
      <w:r>
        <w:rPr>
          <w:b/>
          <w:bCs/>
          <w:sz w:val="18"/>
          <w:szCs w:val="18"/>
        </w:rPr>
        <w:t>3</w:t>
      </w:r>
      <w:r>
        <w:rPr>
          <w:rFonts w:hint="default"/>
          <w:b/>
          <w:bCs/>
          <w:sz w:val="18"/>
          <w:szCs w:val="18"/>
          <w:lang w:val="en-GB"/>
        </w:rPr>
        <w:t>.</w:t>
      </w:r>
      <w:r>
        <w:rPr>
          <w:b/>
          <w:bCs/>
          <w:sz w:val="18"/>
          <w:szCs w:val="18"/>
        </w:rPr>
        <w:t xml:space="preserve"> </w:t>
      </w:r>
      <w:r>
        <w:rPr>
          <w:rFonts w:hint="default"/>
          <w:b/>
          <w:bCs/>
          <w:sz w:val="18"/>
          <w:szCs w:val="18"/>
          <w:lang w:val="en-GB"/>
        </w:rPr>
        <w:t xml:space="preserve">ARPES imaging the </w:t>
      </w:r>
      <w:r>
        <w:rPr>
          <w:b/>
          <w:bCs/>
          <w:sz w:val="18"/>
          <w:szCs w:val="18"/>
        </w:rPr>
        <w:t>Rashba-type band feature S</w:t>
      </w:r>
      <w:r>
        <w:rPr>
          <w:b/>
          <w:bCs/>
          <w:sz w:val="18"/>
          <w:szCs w:val="18"/>
          <w:vertAlign w:val="subscript"/>
        </w:rPr>
        <w:t>1</w:t>
      </w:r>
      <w:r>
        <w:rPr>
          <w:rFonts w:hint="default"/>
          <w:b/>
          <w:bCs/>
          <w:sz w:val="18"/>
          <w:szCs w:val="18"/>
          <w:vertAlign w:val="baseline"/>
          <w:lang w:val="en-GB"/>
        </w:rPr>
        <w:t>.</w:t>
      </w:r>
      <w:r>
        <w:rPr>
          <w:rFonts w:hint="default"/>
          <w:sz w:val="18"/>
          <w:szCs w:val="18"/>
          <w:vertAlign w:val="baseline"/>
          <w:lang w:val="en-GB"/>
        </w:rPr>
        <w:t xml:space="preserve"> </w:t>
      </w:r>
      <w:r>
        <w:rPr>
          <w:sz w:val="18"/>
          <w:szCs w:val="18"/>
        </w:rPr>
        <w:t>(a) ARPES data of the Au</w:t>
      </w:r>
      <w:r>
        <w:rPr>
          <w:sz w:val="18"/>
          <w:szCs w:val="18"/>
          <w:vertAlign w:val="subscript"/>
        </w:rPr>
        <w:t>2</w:t>
      </w:r>
      <w:r>
        <w:rPr>
          <w:sz w:val="18"/>
          <w:szCs w:val="18"/>
        </w:rPr>
        <w:t>Sb surface alloy showing the constant energy contour throughout the SBZ at 1.85</w:t>
      </w:r>
      <w:r>
        <w:rPr>
          <w:rFonts w:hint="default"/>
          <w:sz w:val="18"/>
          <w:szCs w:val="18"/>
          <w:lang w:val="en-GB"/>
        </w:rPr>
        <w:t xml:space="preserve"> </w:t>
      </w:r>
      <w:r>
        <w:rPr>
          <w:sz w:val="18"/>
          <w:szCs w:val="18"/>
        </w:rPr>
        <w:t>eV below the Fermi level. (b) Band dispersion along the lines marked as 1-5 in (a) to illustrate the evolution of the splitting of the S</w:t>
      </w:r>
      <w:r>
        <w:rPr>
          <w:sz w:val="18"/>
          <w:szCs w:val="18"/>
          <w:vertAlign w:val="subscript"/>
        </w:rPr>
        <w:t>1</w:t>
      </w:r>
      <w:r>
        <w:rPr>
          <w:sz w:val="18"/>
          <w:szCs w:val="18"/>
        </w:rPr>
        <w:t xml:space="preserve"> band feature. (c-e) ARPES data of constant energy contours and (f) band dispersion along the high-symmetry directions of the 2nd SBZ of the Au</w:t>
      </w:r>
      <w:r>
        <w:rPr>
          <w:sz w:val="18"/>
          <w:szCs w:val="18"/>
          <w:vertAlign w:val="subscript"/>
        </w:rPr>
        <w:t>2</w:t>
      </w:r>
      <w:r>
        <w:rPr>
          <w:sz w:val="18"/>
          <w:szCs w:val="18"/>
        </w:rPr>
        <w:t>Sn surface alloy, used as a reference to show the clear splitting of the Rashba-type band feature S</w:t>
      </w:r>
      <w:r>
        <w:rPr>
          <w:sz w:val="18"/>
          <w:szCs w:val="18"/>
          <w:vertAlign w:val="subscript"/>
        </w:rPr>
        <w:t>1</w:t>
      </w:r>
      <w:r>
        <w:rPr>
          <w:sz w:val="18"/>
          <w:szCs w:val="18"/>
        </w:rPr>
        <w:t>.</w:t>
      </w:r>
    </w:p>
    <w:p w14:paraId="6461CCD6">
      <w:pPr>
        <w:jc w:val="both"/>
        <w:rPr>
          <w:color w:val="000000" w:themeColor="text1"/>
          <w:sz w:val="24"/>
          <w:szCs w:val="24"/>
          <w14:textFill>
            <w14:solidFill>
              <w14:schemeClr w14:val="tx1"/>
            </w14:solidFill>
          </w14:textFill>
        </w:rPr>
      </w:pPr>
      <w:r>
        <w:rPr>
          <w:rFonts w:hint="default"/>
          <w:sz w:val="24"/>
          <w:szCs w:val="24"/>
        </w:rPr>
        <w:t xml:space="preserve">Supplementary </w:t>
      </w:r>
      <w:r>
        <w:rPr>
          <w:sz w:val="24"/>
          <w:szCs w:val="24"/>
        </w:rPr>
        <w:t>Figure</w:t>
      </w:r>
      <w:r>
        <w:rPr>
          <w:rFonts w:hint="default"/>
          <w:sz w:val="24"/>
          <w:szCs w:val="24"/>
          <w:lang w:val="en-GB"/>
        </w:rPr>
        <w:t>s</w:t>
      </w:r>
      <w:r>
        <w:rPr>
          <w:sz w:val="24"/>
          <w:szCs w:val="24"/>
        </w:rPr>
        <w:t xml:space="preserve"> 3a-b show the evolution of the splitting of band feature S</w:t>
      </w:r>
      <w:r>
        <w:rPr>
          <w:sz w:val="24"/>
          <w:szCs w:val="24"/>
          <w:vertAlign w:val="subscript"/>
        </w:rPr>
        <w:t>1</w:t>
      </w:r>
      <w:r>
        <w:rPr>
          <w:sz w:val="24"/>
          <w:szCs w:val="24"/>
        </w:rPr>
        <w:t xml:space="preserve"> from the Au</w:t>
      </w:r>
      <w:r>
        <w:rPr>
          <w:sz w:val="24"/>
          <w:szCs w:val="24"/>
          <w:vertAlign w:val="subscript"/>
        </w:rPr>
        <w:t>2</w:t>
      </w:r>
      <w:r>
        <w:rPr>
          <w:sz w:val="24"/>
          <w:szCs w:val="24"/>
        </w:rPr>
        <w:t xml:space="preserve">Sb surface alloy, normal to the </w:t>
      </w:r>
      <m:oMath>
        <m:bar>
          <m:barPr>
            <m:pos m:val="top"/>
            <m:ctrlPr>
              <w:rPr>
                <w:rFonts w:ascii="Cambria Math" w:hAnsi="Cambria Math"/>
                <w:sz w:val="24"/>
                <w:szCs w:val="24"/>
              </w:rPr>
            </m:ctrlPr>
          </m:barPr>
          <m:e>
            <m:r>
              <m:rPr>
                <m:sty m:val="p"/>
              </m:rPr>
              <w:rPr>
                <w:rFonts w:ascii="Cambria Math" w:hAnsi="Cambria Math"/>
                <w:sz w:val="24"/>
                <w:szCs w:val="24"/>
              </w:rPr>
              <m:t>Γ</m:t>
            </m:r>
            <m:ctrlPr>
              <w:rPr>
                <w:rFonts w:ascii="Cambria Math" w:hAnsi="Cambria Math"/>
                <w:sz w:val="24"/>
                <w:szCs w:val="24"/>
              </w:rPr>
            </m:ctrlPr>
          </m:e>
        </m:bar>
        <m:r>
          <m:rPr>
            <m:sty m:val="p"/>
          </m:rPr>
          <w:rPr>
            <w:rFonts w:ascii="Cambria Math" w:hAnsi="Cambria Math" w:eastAsia="Calibri" w:cs="Calibri"/>
            <w:sz w:val="24"/>
            <w:szCs w:val="24"/>
          </w:rPr>
          <m:t>−</m:t>
        </m:r>
        <m:bar>
          <m:barPr>
            <m:pos m:val="top"/>
            <m:ctrlPr>
              <w:rPr>
                <w:rFonts w:ascii="Cambria Math" w:hAnsi="Cambria Math"/>
                <w:sz w:val="24"/>
                <w:szCs w:val="24"/>
              </w:rPr>
            </m:ctrlPr>
          </m:barPr>
          <m:e>
            <m:r>
              <m:rPr>
                <m:sty m:val="p"/>
              </m:rPr>
              <w:rPr>
                <w:rFonts w:ascii="Cambria Math" w:hAnsi="Cambria Math"/>
                <w:sz w:val="24"/>
                <w:szCs w:val="24"/>
              </w:rPr>
              <m:t>Γ</m:t>
            </m:r>
            <m:ctrlPr>
              <w:rPr>
                <w:rFonts w:ascii="Cambria Math" w:hAnsi="Cambria Math"/>
                <w:sz w:val="24"/>
                <w:szCs w:val="24"/>
              </w:rPr>
            </m:ctrlPr>
          </m:e>
        </m:bar>
        <m:r>
          <m:rPr>
            <m:sty m:val="p"/>
          </m:rPr>
          <w:rPr>
            <w:rFonts w:ascii="Cambria Math" w:hAnsi="Cambria Math"/>
            <w:sz w:val="24"/>
            <w:szCs w:val="24"/>
          </w:rPr>
          <m:t>'</m:t>
        </m:r>
      </m:oMath>
      <w:r>
        <w:rPr>
          <w:sz w:val="24"/>
          <w:szCs w:val="24"/>
        </w:rPr>
        <w:t xml:space="preserve"> direction. We can clearly see the splitting of the band feature S</w:t>
      </w:r>
      <w:r>
        <w:rPr>
          <w:sz w:val="24"/>
          <w:szCs w:val="24"/>
          <w:vertAlign w:val="subscript"/>
        </w:rPr>
        <w:t>1</w:t>
      </w:r>
      <w:r>
        <w:rPr>
          <w:sz w:val="24"/>
          <w:szCs w:val="24"/>
        </w:rPr>
        <w:t xml:space="preserve"> in cuts 2-5. For comparison, </w:t>
      </w:r>
      <w:r>
        <w:rPr>
          <w:rFonts w:hint="default"/>
          <w:sz w:val="24"/>
          <w:szCs w:val="24"/>
          <w:lang w:val="en-GB"/>
        </w:rPr>
        <w:t xml:space="preserve">Supplementary </w:t>
      </w:r>
      <w:r>
        <w:rPr>
          <w:sz w:val="24"/>
          <w:szCs w:val="24"/>
        </w:rPr>
        <w:t>Figures 3c-f present the electronic structure of the Au</w:t>
      </w:r>
      <w:r>
        <w:rPr>
          <w:sz w:val="24"/>
          <w:szCs w:val="24"/>
          <w:vertAlign w:val="subscript"/>
        </w:rPr>
        <w:t>2</w:t>
      </w:r>
      <w:r>
        <w:rPr>
          <w:sz w:val="24"/>
          <w:szCs w:val="24"/>
        </w:rPr>
        <w:t>Sn surface alloy. The sample preparation of Au</w:t>
      </w:r>
      <w:r>
        <w:rPr>
          <w:sz w:val="24"/>
          <w:szCs w:val="24"/>
          <w:vertAlign w:val="subscript"/>
        </w:rPr>
        <w:t>2</w:t>
      </w:r>
      <w:r>
        <w:rPr>
          <w:sz w:val="24"/>
          <w:szCs w:val="24"/>
        </w:rPr>
        <w:t>Sn surface alloy followed the procedure described in Ref.</w:t>
      </w:r>
      <w:r>
        <w:rPr>
          <w:sz w:val="24"/>
          <w:szCs w:val="24"/>
          <w:vertAlign w:val="superscript"/>
        </w:rPr>
        <w:t>s2</w:t>
      </w:r>
      <w:r>
        <w:rPr>
          <w:sz w:val="24"/>
          <w:szCs w:val="24"/>
        </w:rPr>
        <w:t>. We found the two split</w:t>
      </w:r>
      <w:r>
        <w:rPr>
          <w:rFonts w:hint="default"/>
          <w:sz w:val="24"/>
          <w:szCs w:val="24"/>
          <w:lang w:val="en-GB"/>
        </w:rPr>
        <w:t>ting</w:t>
      </w:r>
      <w:r>
        <w:rPr>
          <w:sz w:val="24"/>
          <w:szCs w:val="24"/>
        </w:rPr>
        <w:t xml:space="preserve"> branches of the S</w:t>
      </w:r>
      <w:r>
        <w:rPr>
          <w:sz w:val="24"/>
          <w:szCs w:val="24"/>
          <w:vertAlign w:val="subscript"/>
        </w:rPr>
        <w:t>1</w:t>
      </w:r>
      <w:r>
        <w:rPr>
          <w:sz w:val="24"/>
          <w:szCs w:val="24"/>
        </w:rPr>
        <w:t xml:space="preserve"> band feature in the Au</w:t>
      </w:r>
      <w:r>
        <w:rPr>
          <w:sz w:val="24"/>
          <w:szCs w:val="24"/>
          <w:vertAlign w:val="subscript"/>
        </w:rPr>
        <w:t>2</w:t>
      </w:r>
      <w:r>
        <w:rPr>
          <w:sz w:val="24"/>
          <w:szCs w:val="24"/>
        </w:rPr>
        <w:t>Sn</w:t>
      </w:r>
      <w:r>
        <w:rPr>
          <w:color w:val="000000" w:themeColor="text1"/>
          <w:sz w:val="24"/>
          <w:szCs w:val="24"/>
          <w14:textFill>
            <w14:solidFill>
              <w14:schemeClr w14:val="tx1"/>
            </w14:solidFill>
          </w14:textFill>
        </w:rPr>
        <w:t xml:space="preserve"> surface alloy to be well separated.</w:t>
      </w:r>
    </w:p>
    <w:p w14:paraId="16FC1D50">
      <w:pPr>
        <w:jc w:val="center"/>
        <w:rPr>
          <w:sz w:val="24"/>
          <w:szCs w:val="24"/>
          <w:lang w:val="el-GR"/>
        </w:rPr>
      </w:pPr>
      <w:r>
        <w:rPr>
          <w:sz w:val="24"/>
          <w:szCs w:val="24"/>
          <w:lang w:val="el-GR"/>
        </w:rPr>
        <w:drawing>
          <wp:inline distT="0" distB="0" distL="114300" distR="114300">
            <wp:extent cx="5727065" cy="1829435"/>
            <wp:effectExtent l="0" t="0" r="6985" b="8890"/>
            <wp:docPr id="2" name="Picture 2" descr="Figure4s_20240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Figure4s_20240702"/>
                    <pic:cNvPicPr>
                      <a:picLocks noChangeAspect="1"/>
                    </pic:cNvPicPr>
                  </pic:nvPicPr>
                  <pic:blipFill>
                    <a:blip r:embed="rId9"/>
                    <a:stretch>
                      <a:fillRect/>
                    </a:stretch>
                  </pic:blipFill>
                  <pic:spPr>
                    <a:xfrm>
                      <a:off x="0" y="0"/>
                      <a:ext cx="5727065" cy="1829435"/>
                    </a:xfrm>
                    <a:prstGeom prst="rect">
                      <a:avLst/>
                    </a:prstGeom>
                  </pic:spPr>
                </pic:pic>
              </a:graphicData>
            </a:graphic>
          </wp:inline>
        </w:drawing>
      </w:r>
    </w:p>
    <w:p w14:paraId="703E7627">
      <w:pPr>
        <w:jc w:val="both"/>
        <w:rPr>
          <w:sz w:val="24"/>
          <w:szCs w:val="24"/>
        </w:rPr>
      </w:pPr>
      <w:r>
        <w:rPr>
          <w:b/>
          <w:bCs/>
          <w:sz w:val="18"/>
          <w:szCs w:val="18"/>
          <w:lang w:val="en-GB"/>
        </w:rPr>
        <w:t>Fig</w:t>
      </w:r>
      <w:r>
        <w:rPr>
          <w:rFonts w:hint="default"/>
          <w:b/>
          <w:bCs/>
          <w:sz w:val="18"/>
          <w:szCs w:val="18"/>
          <w:lang w:val="en-GB"/>
        </w:rPr>
        <w:t>ure</w:t>
      </w:r>
      <w:r>
        <w:rPr>
          <w:b/>
          <w:bCs/>
          <w:sz w:val="18"/>
          <w:szCs w:val="18"/>
          <w:lang w:val="en-GB"/>
        </w:rPr>
        <w:t xml:space="preserve"> S</w:t>
      </w:r>
      <w:r>
        <w:rPr>
          <w:b/>
          <w:bCs/>
          <w:sz w:val="18"/>
          <w:szCs w:val="18"/>
        </w:rPr>
        <w:t>4</w:t>
      </w:r>
      <w:r>
        <w:rPr>
          <w:rFonts w:hint="default"/>
          <w:b/>
          <w:bCs/>
          <w:sz w:val="18"/>
          <w:szCs w:val="18"/>
          <w:lang w:val="en-GB"/>
        </w:rPr>
        <w:t>.</w:t>
      </w:r>
      <w:r>
        <w:rPr>
          <w:b/>
          <w:bCs/>
          <w:sz w:val="18"/>
          <w:szCs w:val="18"/>
        </w:rPr>
        <w:t xml:space="preserve"> </w:t>
      </w:r>
      <w:r>
        <w:rPr>
          <w:rFonts w:hint="default"/>
          <w:b/>
          <w:bCs/>
          <w:sz w:val="18"/>
          <w:szCs w:val="18"/>
        </w:rPr>
        <w:t>Calculated band structure</w:t>
      </w:r>
      <w:r>
        <w:rPr>
          <w:rFonts w:hint="default"/>
          <w:b/>
          <w:bCs/>
          <w:sz w:val="18"/>
          <w:szCs w:val="18"/>
          <w:lang w:val="en-GB"/>
        </w:rPr>
        <w:t xml:space="preserve"> of the Sb/Au(111) interface with </w:t>
      </w:r>
      <w:r>
        <w:rPr>
          <w:b/>
          <w:bCs/>
          <w:sz w:val="18"/>
          <w:szCs w:val="18"/>
        </w:rPr>
        <w:t xml:space="preserve">a </w:t>
      </w:r>
      <m:oMath>
        <m:rad>
          <m:radPr>
            <m:degHide m:val="1"/>
            <m:ctrlPr>
              <w:rPr>
                <w:rFonts w:ascii="Cambria Math" w:hAnsi="Cambria Math"/>
                <w:b/>
                <w:bCs/>
                <w:i/>
                <w:sz w:val="18"/>
                <w:szCs w:val="18"/>
              </w:rPr>
            </m:ctrlPr>
          </m:radPr>
          <m:deg>
            <m:ctrlPr>
              <w:rPr>
                <w:rFonts w:ascii="Cambria Math" w:hAnsi="Cambria Math"/>
                <w:b/>
                <w:bCs/>
                <w:i/>
                <w:sz w:val="18"/>
                <w:szCs w:val="18"/>
              </w:rPr>
            </m:ctrlPr>
          </m:deg>
          <m:e>
            <m:r>
              <m:rPr>
                <m:sty m:val="bi"/>
              </m:rPr>
              <w:rPr>
                <w:rFonts w:hint="default" w:ascii="Cambria Math" w:hAnsi="Cambria Math"/>
                <w:sz w:val="18"/>
                <w:szCs w:val="18"/>
              </w:rPr>
              <m:t>3</m:t>
            </m:r>
            <m:ctrlPr>
              <w:rPr>
                <w:rFonts w:ascii="Cambria Math" w:hAnsi="Cambria Math"/>
                <w:b/>
                <w:bCs/>
                <w:i/>
                <w:sz w:val="18"/>
                <w:szCs w:val="18"/>
              </w:rPr>
            </m:ctrlPr>
          </m:e>
        </m:rad>
        <m:r>
          <m:rPr>
            <m:sty m:val="bi"/>
          </m:rPr>
          <w:rPr>
            <w:rFonts w:ascii="Cambria Math" w:hAnsi="Cambria Math"/>
            <w:sz w:val="18"/>
            <w:szCs w:val="18"/>
          </w:rPr>
          <m:t>×</m:t>
        </m:r>
        <m:rad>
          <m:radPr>
            <m:degHide m:val="1"/>
            <m:ctrlPr>
              <w:rPr>
                <w:rFonts w:ascii="Cambria Math" w:hAnsi="Cambria Math"/>
                <w:b/>
                <w:bCs/>
                <w:i/>
                <w:sz w:val="18"/>
                <w:szCs w:val="18"/>
              </w:rPr>
            </m:ctrlPr>
          </m:radPr>
          <m:deg>
            <m:ctrlPr>
              <w:rPr>
                <w:rFonts w:ascii="Cambria Math" w:hAnsi="Cambria Math"/>
                <w:b/>
                <w:bCs/>
                <w:i/>
                <w:sz w:val="18"/>
                <w:szCs w:val="18"/>
              </w:rPr>
            </m:ctrlPr>
          </m:deg>
          <m:e>
            <m:r>
              <m:rPr>
                <m:sty m:val="bi"/>
              </m:rPr>
              <w:rPr>
                <w:rFonts w:hint="default" w:ascii="Cambria Math" w:hAnsi="Cambria Math"/>
                <w:sz w:val="18"/>
                <w:szCs w:val="18"/>
              </w:rPr>
              <m:t>3</m:t>
            </m:r>
            <m:ctrlPr>
              <w:rPr>
                <w:rFonts w:ascii="Cambria Math" w:hAnsi="Cambria Math"/>
                <w:b/>
                <w:bCs/>
                <w:i/>
                <w:sz w:val="18"/>
                <w:szCs w:val="18"/>
              </w:rPr>
            </m:ctrlPr>
          </m:e>
        </m:rad>
      </m:oMath>
      <w:r>
        <w:rPr>
          <w:b/>
          <w:bCs/>
          <w:sz w:val="18"/>
          <w:szCs w:val="18"/>
        </w:rPr>
        <w:t xml:space="preserve"> surface reconstruction</w:t>
      </w:r>
      <w:r>
        <w:rPr>
          <w:rFonts w:hint="default"/>
          <w:b/>
          <w:bCs/>
          <w:sz w:val="18"/>
          <w:szCs w:val="18"/>
          <w:lang w:val="en-GB"/>
        </w:rPr>
        <w:t>.</w:t>
      </w:r>
      <w:r>
        <w:rPr>
          <w:rFonts w:hint="default"/>
          <w:sz w:val="18"/>
          <w:szCs w:val="18"/>
          <w:lang w:val="en-GB"/>
        </w:rPr>
        <w:t xml:space="preserve"> </w:t>
      </w:r>
      <w:r>
        <w:rPr>
          <w:sz w:val="18"/>
          <w:szCs w:val="18"/>
        </w:rPr>
        <w:t xml:space="preserve">(a) Calculated band structure with SOC for the Sb absorbed above the Au(111) with a </w:t>
      </w:r>
      <m:oMath>
        <m:rad>
          <m:radPr>
            <m:degHide m:val="1"/>
            <m:ctrlPr>
              <w:rPr>
                <w:rFonts w:ascii="Cambria Math" w:hAnsi="Cambria Math"/>
                <w:i/>
                <w:sz w:val="18"/>
                <w:szCs w:val="18"/>
              </w:rPr>
            </m:ctrlPr>
          </m:radPr>
          <m:deg>
            <m:ctrlPr>
              <w:rPr>
                <w:rFonts w:ascii="Cambria Math" w:hAnsi="Cambria Math"/>
                <w:i/>
                <w:sz w:val="18"/>
                <w:szCs w:val="18"/>
              </w:rPr>
            </m:ctrlPr>
          </m:deg>
          <m:e>
            <m:r>
              <m:rPr/>
              <w:rPr>
                <w:rFonts w:ascii="Cambria Math" w:hAnsi="Cambria Math"/>
                <w:sz w:val="18"/>
                <w:szCs w:val="18"/>
              </w:rPr>
              <m:t>3</m:t>
            </m:r>
            <m:ctrlPr>
              <w:rPr>
                <w:rFonts w:ascii="Cambria Math" w:hAnsi="Cambria Math"/>
                <w:i/>
                <w:sz w:val="18"/>
                <w:szCs w:val="18"/>
              </w:rPr>
            </m:ctrlPr>
          </m:e>
        </m:rad>
        <m:r>
          <m:rPr/>
          <w:rPr>
            <w:rFonts w:ascii="Cambria Math" w:hAnsi="Cambria Math"/>
            <w:sz w:val="18"/>
            <w:szCs w:val="18"/>
          </w:rPr>
          <m:t>×</m:t>
        </m:r>
        <m:rad>
          <m:radPr>
            <m:degHide m:val="1"/>
            <m:ctrlPr>
              <w:rPr>
                <w:rFonts w:ascii="Cambria Math" w:hAnsi="Cambria Math"/>
                <w:i/>
                <w:sz w:val="18"/>
                <w:szCs w:val="18"/>
              </w:rPr>
            </m:ctrlPr>
          </m:radPr>
          <m:deg>
            <m:ctrlPr>
              <w:rPr>
                <w:rFonts w:ascii="Cambria Math" w:hAnsi="Cambria Math"/>
                <w:i/>
                <w:sz w:val="18"/>
                <w:szCs w:val="18"/>
              </w:rPr>
            </m:ctrlPr>
          </m:deg>
          <m:e>
            <m:r>
              <m:rPr/>
              <w:rPr>
                <w:rFonts w:ascii="Cambria Math" w:hAnsi="Cambria Math"/>
                <w:sz w:val="18"/>
                <w:szCs w:val="18"/>
              </w:rPr>
              <m:t>3</m:t>
            </m:r>
            <m:ctrlPr>
              <w:rPr>
                <w:rFonts w:ascii="Cambria Math" w:hAnsi="Cambria Math"/>
                <w:i/>
                <w:sz w:val="18"/>
                <w:szCs w:val="18"/>
              </w:rPr>
            </m:ctrlPr>
          </m:e>
        </m:rad>
      </m:oMath>
      <w:r>
        <w:rPr>
          <w:sz w:val="18"/>
          <w:szCs w:val="18"/>
        </w:rPr>
        <w:t xml:space="preserve"> surface reconstruction. Blue, purple, and yellow symbols indicate contributions from </w:t>
      </w:r>
      <m:oMath>
        <m:sSub>
          <m:sSubPr>
            <m:ctrlPr>
              <w:rPr>
                <w:rFonts w:ascii="Cambria Math" w:hAnsi="Cambria Math" w:eastAsia="Calibri" w:cs="Calibri"/>
                <w:i/>
                <w:sz w:val="18"/>
                <w:szCs w:val="18"/>
              </w:rPr>
            </m:ctrlPr>
          </m:sSubPr>
          <m:e>
            <m:r>
              <m:rPr/>
              <w:rPr>
                <w:rFonts w:ascii="Cambria Math" w:hAnsi="Cambria Math" w:eastAsia="Calibri" w:cs="Calibri"/>
                <w:sz w:val="18"/>
                <w:szCs w:val="18"/>
              </w:rPr>
              <m:t>p</m:t>
            </m:r>
            <m:ctrlPr>
              <w:rPr>
                <w:rFonts w:ascii="Cambria Math" w:hAnsi="Cambria Math" w:eastAsia="Calibri" w:cs="Calibri"/>
                <w:i/>
                <w:sz w:val="18"/>
                <w:szCs w:val="18"/>
              </w:rPr>
            </m:ctrlPr>
          </m:e>
          <m:sub>
            <m:r>
              <m:rPr/>
              <w:rPr>
                <w:rFonts w:ascii="Cambria Math" w:hAnsi="Cambria Math" w:eastAsia="Calibri" w:cs="Calibri"/>
                <w:sz w:val="18"/>
                <w:szCs w:val="18"/>
              </w:rPr>
              <m:t>x</m:t>
            </m:r>
            <m:ctrlPr>
              <w:rPr>
                <w:rFonts w:ascii="Cambria Math" w:hAnsi="Cambria Math" w:eastAsia="Calibri" w:cs="Calibri"/>
                <w:i/>
                <w:sz w:val="18"/>
                <w:szCs w:val="18"/>
              </w:rPr>
            </m:ctrlPr>
          </m:sub>
        </m:sSub>
      </m:oMath>
      <w:r>
        <w:rPr>
          <w:rFonts w:eastAsia="Calibri" w:cs="Calibri"/>
          <w:sz w:val="18"/>
          <w:szCs w:val="18"/>
        </w:rPr>
        <w:t xml:space="preserve">, </w:t>
      </w:r>
      <m:oMath>
        <m:sSub>
          <m:sSubPr>
            <m:ctrlPr>
              <w:rPr>
                <w:rFonts w:ascii="Cambria Math" w:hAnsi="Cambria Math" w:eastAsia="Calibri" w:cs="Calibri"/>
                <w:i/>
                <w:sz w:val="18"/>
                <w:szCs w:val="18"/>
              </w:rPr>
            </m:ctrlPr>
          </m:sSubPr>
          <m:e>
            <m:r>
              <m:rPr/>
              <w:rPr>
                <w:rFonts w:ascii="Cambria Math" w:hAnsi="Cambria Math" w:eastAsia="Calibri" w:cs="Calibri"/>
                <w:sz w:val="18"/>
                <w:szCs w:val="18"/>
              </w:rPr>
              <m:t>p</m:t>
            </m:r>
            <m:ctrlPr>
              <w:rPr>
                <w:rFonts w:ascii="Cambria Math" w:hAnsi="Cambria Math" w:eastAsia="Calibri" w:cs="Calibri"/>
                <w:i/>
                <w:sz w:val="18"/>
                <w:szCs w:val="18"/>
              </w:rPr>
            </m:ctrlPr>
          </m:e>
          <m:sub>
            <m:r>
              <m:rPr/>
              <w:rPr>
                <w:rFonts w:ascii="Cambria Math" w:hAnsi="Cambria Math" w:eastAsia="Calibri" w:cs="Calibri"/>
                <w:sz w:val="18"/>
                <w:szCs w:val="18"/>
              </w:rPr>
              <m:t>y</m:t>
            </m:r>
            <m:ctrlPr>
              <w:rPr>
                <w:rFonts w:ascii="Cambria Math" w:hAnsi="Cambria Math" w:eastAsia="Calibri" w:cs="Calibri"/>
                <w:i/>
                <w:sz w:val="18"/>
                <w:szCs w:val="18"/>
              </w:rPr>
            </m:ctrlPr>
          </m:sub>
        </m:sSub>
      </m:oMath>
      <w:r>
        <w:rPr>
          <w:rFonts w:eastAsia="Calibri" w:cs="Calibri"/>
          <w:sz w:val="18"/>
          <w:szCs w:val="18"/>
        </w:rPr>
        <w:t xml:space="preserve">, and </w:t>
      </w:r>
      <m:oMath>
        <m:sSub>
          <m:sSubPr>
            <m:ctrlPr>
              <w:rPr>
                <w:rFonts w:ascii="Cambria Math" w:hAnsi="Cambria Math" w:eastAsia="Calibri" w:cs="Calibri"/>
                <w:i/>
                <w:sz w:val="18"/>
                <w:szCs w:val="18"/>
              </w:rPr>
            </m:ctrlPr>
          </m:sSubPr>
          <m:e>
            <m:r>
              <m:rPr/>
              <w:rPr>
                <w:rFonts w:ascii="Cambria Math" w:hAnsi="Cambria Math" w:eastAsia="Calibri" w:cs="Calibri"/>
                <w:sz w:val="18"/>
                <w:szCs w:val="18"/>
              </w:rPr>
              <m:t>p</m:t>
            </m:r>
            <m:ctrlPr>
              <w:rPr>
                <w:rFonts w:ascii="Cambria Math" w:hAnsi="Cambria Math" w:eastAsia="Calibri" w:cs="Calibri"/>
                <w:i/>
                <w:sz w:val="18"/>
                <w:szCs w:val="18"/>
              </w:rPr>
            </m:ctrlPr>
          </m:e>
          <m:sub>
            <m:r>
              <m:rPr/>
              <w:rPr>
                <w:rFonts w:ascii="Cambria Math" w:hAnsi="Cambria Math" w:eastAsia="Calibri" w:cs="Calibri"/>
                <w:sz w:val="18"/>
                <w:szCs w:val="18"/>
              </w:rPr>
              <m:t>z</m:t>
            </m:r>
            <m:ctrlPr>
              <w:rPr>
                <w:rFonts w:ascii="Cambria Math" w:hAnsi="Cambria Math" w:eastAsia="Calibri" w:cs="Calibri"/>
                <w:i/>
                <w:sz w:val="18"/>
                <w:szCs w:val="18"/>
              </w:rPr>
            </m:ctrlPr>
          </m:sub>
        </m:sSub>
      </m:oMath>
      <w:r>
        <w:rPr>
          <w:sz w:val="18"/>
          <w:szCs w:val="18"/>
        </w:rPr>
        <w:t xml:space="preserve"> states projected from the absorbed Sb atom. (b) </w:t>
      </w:r>
      <w:r>
        <w:rPr>
          <w:rFonts w:eastAsia="Calibri" w:cs="Calibri"/>
          <w:sz w:val="18"/>
          <w:szCs w:val="18"/>
        </w:rPr>
        <w:t>Calculated band structure with SOC for the model of the Au</w:t>
      </w:r>
      <w:r>
        <w:rPr>
          <w:rFonts w:eastAsia="Calibri" w:cs="Calibri"/>
          <w:sz w:val="18"/>
          <w:szCs w:val="18"/>
          <w:vertAlign w:val="subscript"/>
        </w:rPr>
        <w:t>2</w:t>
      </w:r>
      <w:r>
        <w:rPr>
          <w:rFonts w:eastAsia="Calibri" w:cs="Calibri"/>
          <w:sz w:val="18"/>
          <w:szCs w:val="18"/>
        </w:rPr>
        <w:t xml:space="preserve">Sb surface alloy shown in </w:t>
      </w:r>
      <w:r>
        <w:rPr>
          <w:rFonts w:eastAsia="Calibri" w:cs="Calibri"/>
          <w:sz w:val="18"/>
          <w:szCs w:val="18"/>
          <w:lang w:val="en-GB"/>
        </w:rPr>
        <w:t>Fig</w:t>
      </w:r>
      <w:r>
        <w:rPr>
          <w:rFonts w:hint="default" w:eastAsia="Calibri" w:cs="Calibri"/>
          <w:sz w:val="18"/>
          <w:szCs w:val="18"/>
          <w:lang w:val="en-GB"/>
        </w:rPr>
        <w:t>ure</w:t>
      </w:r>
      <w:r>
        <w:rPr>
          <w:rFonts w:eastAsia="Calibri" w:cs="Calibri"/>
          <w:sz w:val="18"/>
          <w:szCs w:val="18"/>
          <w:lang w:val="en-GB"/>
        </w:rPr>
        <w:t xml:space="preserve"> </w:t>
      </w:r>
      <w:r>
        <w:rPr>
          <w:rFonts w:eastAsia="Calibri" w:cs="Calibri"/>
          <w:sz w:val="18"/>
          <w:szCs w:val="18"/>
        </w:rPr>
        <w:t xml:space="preserve">1f. Yellow, blue, and purple symbols indicate contributions from </w:t>
      </w:r>
      <m:oMath>
        <m:r>
          <m:rPr/>
          <w:rPr>
            <w:rFonts w:ascii="Cambria Math" w:hAnsi="Cambria Math" w:eastAsia="Calibri" w:cs="Calibri"/>
            <w:sz w:val="18"/>
            <w:szCs w:val="18"/>
          </w:rPr>
          <m:t>s</m:t>
        </m:r>
      </m:oMath>
      <w:r>
        <w:rPr>
          <w:rFonts w:ascii="Times New Roman" w:hAnsi="Cambria Math" w:eastAsia="Calibri" w:cs="Calibri"/>
          <w:sz w:val="18"/>
          <w:szCs w:val="18"/>
        </w:rPr>
        <w:t xml:space="preserve">, </w:t>
      </w:r>
      <m:oMath>
        <m:sSub>
          <m:sSubPr>
            <m:ctrlPr>
              <w:rPr>
                <w:rFonts w:ascii="Cambria Math" w:hAnsi="Cambria Math" w:eastAsia="Calibri" w:cs="Calibri"/>
                <w:i/>
                <w:iCs/>
                <w:sz w:val="18"/>
                <w:szCs w:val="18"/>
              </w:rPr>
            </m:ctrlPr>
          </m:sSubPr>
          <m:e>
            <m:r>
              <m:rPr/>
              <w:rPr>
                <w:rFonts w:ascii="Cambria Math" w:hAnsi="Cambria Math" w:eastAsia="Calibri" w:cs="Calibri"/>
                <w:sz w:val="18"/>
                <w:szCs w:val="18"/>
              </w:rPr>
              <m:t>d</m:t>
            </m:r>
            <m:ctrlPr>
              <w:rPr>
                <w:rFonts w:ascii="Cambria Math" w:hAnsi="Cambria Math" w:eastAsia="Calibri" w:cs="Calibri"/>
                <w:i/>
                <w:iCs/>
                <w:sz w:val="18"/>
                <w:szCs w:val="18"/>
              </w:rPr>
            </m:ctrlPr>
          </m:e>
          <m:sub>
            <m:r>
              <m:rPr/>
              <w:rPr>
                <w:rFonts w:ascii="Cambria Math" w:hAnsi="Cambria Math" w:eastAsia="Calibri" w:cs="Calibri"/>
                <w:sz w:val="18"/>
                <w:szCs w:val="18"/>
              </w:rPr>
              <m:t>xy</m:t>
            </m:r>
            <m:ctrlPr>
              <w:rPr>
                <w:rFonts w:ascii="Cambria Math" w:hAnsi="Cambria Math" w:eastAsia="Calibri" w:cs="Calibri"/>
                <w:i/>
                <w:iCs/>
                <w:sz w:val="18"/>
                <w:szCs w:val="18"/>
              </w:rPr>
            </m:ctrlPr>
          </m:sub>
        </m:sSub>
      </m:oMath>
      <w:r>
        <w:rPr>
          <w:rFonts w:ascii="Times New Roman" w:hAnsi="Cambria Math" w:eastAsia="Calibri" w:cs="Calibri"/>
          <w:iCs/>
          <w:sz w:val="18"/>
          <w:szCs w:val="18"/>
        </w:rPr>
        <w:t xml:space="preserve"> </w:t>
      </w:r>
      <w:r>
        <w:rPr>
          <w:rFonts w:eastAsia="Calibri" w:cs="Calibri"/>
          <w:sz w:val="18"/>
          <w:szCs w:val="18"/>
        </w:rPr>
        <w:t>and</w:t>
      </w:r>
      <w:r>
        <w:rPr>
          <w:rFonts w:ascii="Times New Roman" w:hAnsi="Cambria Math" w:eastAsia="Calibri" w:cs="Calibri"/>
          <w:iCs/>
          <w:sz w:val="18"/>
          <w:szCs w:val="18"/>
        </w:rPr>
        <w:t xml:space="preserve"> </w:t>
      </w:r>
      <m:oMath>
        <m:sSub>
          <m:sSubPr>
            <m:ctrlPr>
              <w:rPr>
                <w:rFonts w:ascii="Cambria Math" w:hAnsi="Cambria Math" w:eastAsia="Calibri" w:cs="Calibri"/>
                <w:i/>
                <w:iCs/>
                <w:sz w:val="18"/>
                <w:szCs w:val="18"/>
              </w:rPr>
            </m:ctrlPr>
          </m:sSubPr>
          <m:e>
            <m:r>
              <m:rPr/>
              <w:rPr>
                <w:rFonts w:ascii="Cambria Math" w:hAnsi="Cambria Math" w:eastAsia="Calibri" w:cs="Calibri"/>
                <w:sz w:val="18"/>
                <w:szCs w:val="18"/>
              </w:rPr>
              <m:t>d</m:t>
            </m:r>
            <m:ctrlPr>
              <w:rPr>
                <w:rFonts w:ascii="Cambria Math" w:hAnsi="Cambria Math" w:eastAsia="Calibri" w:cs="Calibri"/>
                <w:i/>
                <w:iCs/>
                <w:sz w:val="18"/>
                <w:szCs w:val="18"/>
              </w:rPr>
            </m:ctrlPr>
          </m:e>
          <m:sub>
            <m:sSup>
              <m:sSupPr>
                <m:ctrlPr>
                  <w:rPr>
                    <w:rFonts w:ascii="Cambria Math" w:hAnsi="Cambria Math" w:eastAsia="Calibri" w:cs="Calibri"/>
                    <w:i/>
                    <w:iCs/>
                    <w:sz w:val="18"/>
                    <w:szCs w:val="18"/>
                  </w:rPr>
                </m:ctrlPr>
              </m:sSupPr>
              <m:e>
                <m:r>
                  <m:rPr/>
                  <w:rPr>
                    <w:rFonts w:ascii="Cambria Math" w:hAnsi="Cambria Math" w:eastAsia="Calibri" w:cs="Calibri"/>
                    <w:sz w:val="18"/>
                    <w:szCs w:val="18"/>
                  </w:rPr>
                  <m:t>x</m:t>
                </m:r>
                <m:ctrlPr>
                  <w:rPr>
                    <w:rFonts w:ascii="Cambria Math" w:hAnsi="Cambria Math" w:eastAsia="Calibri" w:cs="Calibri"/>
                    <w:i/>
                    <w:iCs/>
                    <w:sz w:val="18"/>
                    <w:szCs w:val="18"/>
                  </w:rPr>
                </m:ctrlPr>
              </m:e>
              <m:sup>
                <m:r>
                  <m:rPr/>
                  <w:rPr>
                    <w:rFonts w:ascii="Cambria Math" w:hAnsi="Cambria Math" w:eastAsia="Calibri" w:cs="Calibri"/>
                    <w:sz w:val="18"/>
                    <w:szCs w:val="18"/>
                  </w:rPr>
                  <m:t>2</m:t>
                </m:r>
                <m:ctrlPr>
                  <w:rPr>
                    <w:rFonts w:ascii="Cambria Math" w:hAnsi="Cambria Math" w:eastAsia="Calibri" w:cs="Calibri"/>
                    <w:i/>
                    <w:iCs/>
                    <w:sz w:val="18"/>
                    <w:szCs w:val="18"/>
                  </w:rPr>
                </m:ctrlPr>
              </m:sup>
            </m:sSup>
            <m:r>
              <m:rPr/>
              <w:rPr>
                <w:rFonts w:ascii="Cambria Math" w:hAnsi="Cambria Math" w:eastAsia="Calibri" w:cs="Calibri"/>
                <w:sz w:val="18"/>
                <w:szCs w:val="18"/>
              </w:rPr>
              <m:t>−</m:t>
            </m:r>
            <m:sSup>
              <m:sSupPr>
                <m:ctrlPr>
                  <w:rPr>
                    <w:rFonts w:ascii="Cambria Math" w:hAnsi="Cambria Math" w:eastAsia="Calibri" w:cs="Calibri"/>
                    <w:i/>
                    <w:iCs/>
                    <w:sz w:val="18"/>
                    <w:szCs w:val="18"/>
                  </w:rPr>
                </m:ctrlPr>
              </m:sSupPr>
              <m:e>
                <m:r>
                  <m:rPr/>
                  <w:rPr>
                    <w:rFonts w:ascii="Cambria Math" w:hAnsi="Cambria Math" w:eastAsia="Calibri" w:cs="Calibri"/>
                    <w:sz w:val="18"/>
                    <w:szCs w:val="18"/>
                  </w:rPr>
                  <m:t>y</m:t>
                </m:r>
                <m:ctrlPr>
                  <w:rPr>
                    <w:rFonts w:ascii="Cambria Math" w:hAnsi="Cambria Math" w:eastAsia="Calibri" w:cs="Calibri"/>
                    <w:i/>
                    <w:iCs/>
                    <w:sz w:val="18"/>
                    <w:szCs w:val="18"/>
                  </w:rPr>
                </m:ctrlPr>
              </m:e>
              <m:sup>
                <m:r>
                  <m:rPr/>
                  <w:rPr>
                    <w:rFonts w:ascii="Cambria Math" w:hAnsi="Cambria Math" w:eastAsia="Calibri" w:cs="Calibri"/>
                    <w:sz w:val="18"/>
                    <w:szCs w:val="18"/>
                  </w:rPr>
                  <m:t>2</m:t>
                </m:r>
                <m:ctrlPr>
                  <w:rPr>
                    <w:rFonts w:ascii="Cambria Math" w:hAnsi="Cambria Math" w:eastAsia="Calibri" w:cs="Calibri"/>
                    <w:i/>
                    <w:iCs/>
                    <w:sz w:val="18"/>
                    <w:szCs w:val="18"/>
                  </w:rPr>
                </m:ctrlPr>
              </m:sup>
            </m:sSup>
            <m:ctrlPr>
              <w:rPr>
                <w:rFonts w:ascii="Cambria Math" w:hAnsi="Cambria Math" w:eastAsia="Calibri" w:cs="Calibri"/>
                <w:i/>
                <w:iCs/>
                <w:sz w:val="18"/>
                <w:szCs w:val="18"/>
              </w:rPr>
            </m:ctrlPr>
          </m:sub>
        </m:sSub>
      </m:oMath>
      <w:r>
        <w:rPr>
          <w:rFonts w:ascii="Times New Roman" w:hAnsi="Cambria Math" w:eastAsia="Calibri" w:cs="Calibri"/>
          <w:iCs/>
          <w:sz w:val="24"/>
          <w:szCs w:val="24"/>
        </w:rPr>
        <w:t xml:space="preserve"> </w:t>
      </w:r>
      <w:r>
        <w:rPr>
          <w:rFonts w:eastAsia="Calibri" w:cs="Calibri"/>
          <w:sz w:val="18"/>
          <w:szCs w:val="18"/>
        </w:rPr>
        <w:t>states of the topmost Au</w:t>
      </w:r>
      <w:r>
        <w:rPr>
          <w:rFonts w:eastAsia="Calibri" w:cs="Calibri"/>
          <w:sz w:val="18"/>
          <w:szCs w:val="18"/>
          <w:vertAlign w:val="subscript"/>
        </w:rPr>
        <w:t>2</w:t>
      </w:r>
      <w:r>
        <w:rPr>
          <w:rFonts w:eastAsia="Calibri" w:cs="Calibri"/>
          <w:sz w:val="18"/>
          <w:szCs w:val="18"/>
        </w:rPr>
        <w:t>Sb layer.</w:t>
      </w:r>
      <w:r>
        <w:rPr>
          <w:sz w:val="24"/>
          <w:szCs w:val="24"/>
        </w:rPr>
        <w:t xml:space="preserve"> </w:t>
      </w:r>
    </w:p>
    <w:p w14:paraId="2747A450">
      <w:pPr>
        <w:jc w:val="both"/>
        <w:rPr>
          <w:sz w:val="24"/>
          <w:szCs w:val="24"/>
        </w:rPr>
      </w:pPr>
      <w:r>
        <w:rPr>
          <w:sz w:val="24"/>
          <w:szCs w:val="24"/>
        </w:rPr>
        <w:t>In</w:t>
      </w:r>
      <w:r>
        <w:rPr>
          <w:rFonts w:hint="default"/>
          <w:sz w:val="24"/>
          <w:szCs w:val="24"/>
          <w:lang w:val="en-GB"/>
        </w:rPr>
        <w:t xml:space="preserve"> </w:t>
      </w:r>
      <w:r>
        <w:rPr>
          <w:rFonts w:hint="default"/>
          <w:sz w:val="24"/>
          <w:szCs w:val="24"/>
          <w:lang w:val="en-GB" w:eastAsia="zh-CN"/>
        </w:rPr>
        <w:t>Supplementary</w:t>
      </w:r>
      <w:r>
        <w:rPr>
          <w:rFonts w:hint="eastAsia"/>
          <w:sz w:val="24"/>
          <w:szCs w:val="24"/>
          <w:lang w:val="en-US" w:eastAsia="zh-CN"/>
        </w:rPr>
        <w:t xml:space="preserve"> </w:t>
      </w:r>
      <w:r>
        <w:rPr>
          <w:sz w:val="24"/>
          <w:szCs w:val="24"/>
          <w:lang w:val="en-GB"/>
        </w:rPr>
        <w:t>Fig</w:t>
      </w:r>
      <w:r>
        <w:rPr>
          <w:rFonts w:hint="default"/>
          <w:sz w:val="24"/>
          <w:szCs w:val="24"/>
          <w:lang w:val="en-GB"/>
        </w:rPr>
        <w:t>ure</w:t>
      </w:r>
      <w:r>
        <w:rPr>
          <w:sz w:val="24"/>
          <w:szCs w:val="24"/>
          <w:lang w:val="en-GB"/>
        </w:rPr>
        <w:t xml:space="preserve"> </w:t>
      </w:r>
      <w:r>
        <w:rPr>
          <w:sz w:val="24"/>
          <w:szCs w:val="24"/>
        </w:rPr>
        <w:t xml:space="preserve">4a, the surface band projected from the absorbed Sb atom shows a clear band dispersion around the </w:t>
      </w:r>
      <m:oMath>
        <m:r>
          <m:rPr>
            <m:sty m:val="p"/>
          </m:rPr>
          <w:rPr>
            <w:rFonts w:ascii="Cambria Math" w:hAnsi="Cambria Math"/>
            <w:sz w:val="24"/>
            <w:szCs w:val="24"/>
          </w:rPr>
          <m:t xml:space="preserve"> </m:t>
        </m:r>
        <m:bar>
          <m:barPr>
            <m:pos m:val="top"/>
            <m:ctrlPr>
              <w:rPr>
                <w:rFonts w:ascii="Cambria Math" w:hAnsi="Cambria Math"/>
                <w:sz w:val="24"/>
                <w:szCs w:val="24"/>
              </w:rPr>
            </m:ctrlPr>
          </m:barPr>
          <m:e>
            <m:r>
              <m:rPr>
                <m:sty m:val="p"/>
              </m:rPr>
              <w:rPr>
                <w:rFonts w:ascii="Cambria Math" w:hAnsi="Cambria Math"/>
                <w:sz w:val="24"/>
                <w:szCs w:val="24"/>
              </w:rPr>
              <m:t>Γ</m:t>
            </m:r>
            <m:ctrlPr>
              <w:rPr>
                <w:rFonts w:ascii="Cambria Math" w:hAnsi="Cambria Math"/>
                <w:sz w:val="24"/>
                <w:szCs w:val="24"/>
              </w:rPr>
            </m:ctrlPr>
          </m:e>
        </m:bar>
        <m:r>
          <m:rPr>
            <m:sty m:val="p"/>
          </m:rPr>
          <w:rPr>
            <w:rFonts w:ascii="Cambria Math" w:hAnsi="Cambria Math"/>
            <w:sz w:val="24"/>
            <w:szCs w:val="24"/>
          </w:rPr>
          <m:t>'</m:t>
        </m:r>
      </m:oMath>
      <w:r>
        <w:rPr>
          <w:sz w:val="24"/>
          <w:szCs w:val="24"/>
        </w:rPr>
        <w:t xml:space="preserve"> point, but its dispersion becomes less pronounced as the binding energy increases. This feature exhibits distinct differences compared to the calculated band structure of the Au</w:t>
      </w:r>
      <w:r>
        <w:rPr>
          <w:sz w:val="24"/>
          <w:szCs w:val="24"/>
          <w:vertAlign w:val="subscript"/>
        </w:rPr>
        <w:t>2</w:t>
      </w:r>
      <w:r>
        <w:rPr>
          <w:sz w:val="24"/>
          <w:szCs w:val="24"/>
        </w:rPr>
        <w:t>Sb alloy model and the experimental ARPES data.</w:t>
      </w:r>
    </w:p>
    <w:p w14:paraId="02776B81">
      <w:pPr>
        <w:jc w:val="both"/>
        <w:rPr>
          <w:rFonts w:eastAsia="Calibri" w:cs="Calibri"/>
          <w:sz w:val="21"/>
          <w:szCs w:val="21"/>
        </w:rPr>
      </w:pPr>
    </w:p>
    <w:p w14:paraId="3A63F08E">
      <w:pPr>
        <w:rPr>
          <w:rFonts w:eastAsia="Calibri" w:cs="Calibri"/>
          <w:b/>
          <w:bCs/>
          <w:sz w:val="28"/>
          <w:szCs w:val="28"/>
        </w:rPr>
      </w:pPr>
      <w:r>
        <w:rPr>
          <w:rFonts w:eastAsia="Calibri" w:cs="Calibri"/>
          <w:b/>
          <w:bCs/>
          <w:sz w:val="28"/>
          <w:szCs w:val="28"/>
        </w:rPr>
        <w:t>Reference</w:t>
      </w:r>
    </w:p>
    <w:p w14:paraId="27105660">
      <w:pPr>
        <w:pStyle w:val="17"/>
        <w:spacing w:after="0"/>
        <w:ind w:left="720" w:hanging="720"/>
        <w:jc w:val="both"/>
        <w:rPr>
          <w:sz w:val="24"/>
          <w:szCs w:val="24"/>
        </w:rPr>
      </w:pPr>
      <w:r>
        <w:rPr>
          <w:sz w:val="24"/>
          <w:szCs w:val="24"/>
        </w:rPr>
        <w:t>1</w:t>
      </w:r>
      <w:r>
        <w:rPr>
          <w:sz w:val="24"/>
          <w:szCs w:val="24"/>
        </w:rPr>
        <w:tab/>
      </w:r>
      <w:r>
        <w:rPr>
          <w:sz w:val="24"/>
          <w:szCs w:val="24"/>
        </w:rPr>
        <w:t>Zhou, D.</w:t>
      </w:r>
      <w:r>
        <w:rPr>
          <w:i/>
          <w:sz w:val="24"/>
          <w:szCs w:val="24"/>
        </w:rPr>
        <w:t xml:space="preserve"> et al.</w:t>
      </w:r>
      <w:r>
        <w:rPr>
          <w:sz w:val="24"/>
          <w:szCs w:val="24"/>
        </w:rPr>
        <w:t xml:space="preserve"> Interfacial effects on the growth of atomically thin film: Group VA elements on Au (111). </w:t>
      </w:r>
      <w:r>
        <w:rPr>
          <w:i/>
          <w:sz w:val="24"/>
          <w:szCs w:val="24"/>
        </w:rPr>
        <w:t>Advanced Materials Interfaces</w:t>
      </w:r>
      <w:r>
        <w:rPr>
          <w:sz w:val="24"/>
          <w:szCs w:val="24"/>
        </w:rPr>
        <w:t xml:space="preserve"> </w:t>
      </w:r>
      <w:r>
        <w:rPr>
          <w:b/>
          <w:sz w:val="24"/>
          <w:szCs w:val="24"/>
        </w:rPr>
        <w:t>6</w:t>
      </w:r>
      <w:r>
        <w:rPr>
          <w:sz w:val="24"/>
          <w:szCs w:val="24"/>
        </w:rPr>
        <w:t>, 1901050 (2019).</w:t>
      </w:r>
    </w:p>
    <w:p w14:paraId="38CE62BD">
      <w:pPr>
        <w:pStyle w:val="17"/>
        <w:spacing w:after="0"/>
        <w:ind w:left="720" w:hanging="720"/>
        <w:jc w:val="both"/>
        <w:rPr>
          <w:sz w:val="24"/>
          <w:szCs w:val="24"/>
        </w:rPr>
      </w:pPr>
      <w:r>
        <w:rPr>
          <w:sz w:val="24"/>
          <w:szCs w:val="24"/>
        </w:rPr>
        <w:t>2</w:t>
      </w:r>
      <w:r>
        <w:rPr>
          <w:sz w:val="24"/>
          <w:szCs w:val="24"/>
        </w:rPr>
        <w:tab/>
      </w:r>
      <w:r>
        <w:rPr>
          <w:sz w:val="24"/>
          <w:szCs w:val="24"/>
        </w:rPr>
        <w:t>Shah, J.</w:t>
      </w:r>
      <w:r>
        <w:rPr>
          <w:i/>
          <w:sz w:val="24"/>
          <w:szCs w:val="24"/>
        </w:rPr>
        <w:t xml:space="preserve"> et al.</w:t>
      </w:r>
      <w:r>
        <w:rPr>
          <w:sz w:val="24"/>
          <w:szCs w:val="24"/>
        </w:rPr>
        <w:t xml:space="preserve"> Atomic and electronic structures of the Au</w:t>
      </w:r>
      <w:r>
        <w:rPr>
          <w:sz w:val="24"/>
          <w:szCs w:val="24"/>
          <w:vertAlign w:val="subscript"/>
        </w:rPr>
        <w:t>2</w:t>
      </w:r>
      <w:r>
        <w:rPr>
          <w:sz w:val="24"/>
          <w:szCs w:val="24"/>
        </w:rPr>
        <w:t xml:space="preserve">Sn surface alloy on Au(111). </w:t>
      </w:r>
      <w:r>
        <w:rPr>
          <w:i/>
          <w:sz w:val="24"/>
          <w:szCs w:val="24"/>
        </w:rPr>
        <w:t>Physical Review B</w:t>
      </w:r>
      <w:r>
        <w:rPr>
          <w:sz w:val="24"/>
          <w:szCs w:val="24"/>
        </w:rPr>
        <w:t xml:space="preserve"> </w:t>
      </w:r>
      <w:r>
        <w:rPr>
          <w:b/>
          <w:sz w:val="24"/>
          <w:szCs w:val="24"/>
        </w:rPr>
        <w:t>104</w:t>
      </w:r>
      <w:r>
        <w:rPr>
          <w:sz w:val="24"/>
          <w:szCs w:val="24"/>
        </w:rPr>
        <w:t>, 125408 (2021).</w:t>
      </w:r>
    </w:p>
    <w:p w14:paraId="1A8B965A">
      <w:pPr>
        <w:jc w:val="both"/>
        <w:rPr>
          <w:sz w:val="24"/>
          <w:szCs w:val="24"/>
        </w:rPr>
      </w:pPr>
    </w:p>
    <w:sectPr>
      <w:pgSz w:w="11906" w:h="16838"/>
      <w:pgMar w:top="1440" w:right="1440" w:bottom="1440" w:left="1440" w:header="708" w:footer="708"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DengXian">
    <w:panose1 w:val="02010600030101010101"/>
    <w:charset w:val="86"/>
    <w:family w:val="auto"/>
    <w:pitch w:val="default"/>
    <w:sig w:usb0="A00002BF" w:usb1="38CF7CFA" w:usb2="00000016" w:usb3="00000000" w:csb0="0004000F" w:csb1="00000000"/>
  </w:font>
  <w:font w:name="ALHMP O+ Adv O T 863180fb">
    <w:altName w:val="Cambria"/>
    <w:panose1 w:val="00000000000000000000"/>
    <w:charset w:val="00"/>
    <w:family w:val="roman"/>
    <w:pitch w:val="default"/>
    <w:sig w:usb0="00000000" w:usb1="00000000" w:usb2="00000000" w:usb3="00000000" w:csb0="00000001" w:csb1="00000000"/>
  </w:font>
  <w:font w:name="Cambria Math">
    <w:panose1 w:val="02040503050406030204"/>
    <w:charset w:val="00"/>
    <w:family w:val="roman"/>
    <w:pitch w:val="default"/>
    <w:sig w:usb0="E00006FF" w:usb1="420024FF" w:usb2="02000000" w:usb3="00000000" w:csb0="2000019F" w:csb1="00000000"/>
  </w:font>
  <w:font w:name="Cambria">
    <w:panose1 w:val="02040503050406030204"/>
    <w:charset w:val="00"/>
    <w:family w:val="auto"/>
    <w:pitch w:val="default"/>
    <w:sig w:usb0="E00006FF" w:usb1="420024FF" w:usb2="02000000" w:usb3="00000000" w:csb0="2000019F" w:csb1="00000000"/>
  </w:font>
  <w:font w:name="MS Mincho">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drawingGridHorizontalSpacing w:val="110"/>
  <w:drawingGridVerticalSpacing w:val="156"/>
  <w:noPunctuationKerning w:val="1"/>
  <w:characterSpacingControl w:val="doNotCompress"/>
  <w:doNotValidateAgainstSchema/>
  <w:doNotDemarcateInvalidXml/>
  <w:footnotePr>
    <w:footnote w:id="0"/>
    <w:footnote w:id="1"/>
  </w:footnotePr>
  <w:endnotePr>
    <w:endnote w:id="0"/>
    <w:endnote w:id="1"/>
  </w:endnotePr>
  <w:compat>
    <w:spaceForUL/>
    <w:doNotLeaveBackslashAlone/>
    <w:doNotExpandShiftReturn/>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Nature Scientific Report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1&lt;/EnableBibliographyCategories&gt;&lt;/ENLayout&gt;"/>
    <w:docVar w:name="EN.Libraries" w:val="&lt;Libraries&gt;&lt;item db-id=&quot;55xtsz9atwvdw8e9w2sve0emxs0eddrxpztp&quot;&gt;SbAu&lt;record-ids&gt;&lt;item&gt;1&lt;/item&gt;&lt;item&gt;2&lt;/item&gt;&lt;item&gt;3&lt;/item&gt;&lt;item&gt;4&lt;/item&gt;&lt;item&gt;5&lt;/item&gt;&lt;item&gt;6&lt;/item&gt;&lt;item&gt;7&lt;/item&gt;&lt;item&gt;8&lt;/item&gt;&lt;item&gt;9&lt;/item&gt;&lt;item&gt;10&lt;/item&gt;&lt;item&gt;11&lt;/item&gt;&lt;item&gt;12&lt;/item&gt;&lt;item&gt;13&lt;/item&gt;&lt;item&gt;14&lt;/item&gt;&lt;item&gt;15&lt;/item&gt;&lt;item&gt;16&lt;/item&gt;&lt;item&gt;17&lt;/item&gt;&lt;item&gt;18&lt;/item&gt;&lt;item&gt;19&lt;/item&gt;&lt;item&gt;20&lt;/item&gt;&lt;item&gt;21&lt;/item&gt;&lt;item&gt;22&lt;/item&gt;&lt;item&gt;23&lt;/item&gt;&lt;item&gt;24&lt;/item&gt;&lt;item&gt;25&lt;/item&gt;&lt;item&gt;26&lt;/item&gt;&lt;item&gt;27&lt;/item&gt;&lt;item&gt;28&lt;/item&gt;&lt;item&gt;29&lt;/item&gt;&lt;item&gt;30&lt;/item&gt;&lt;item&gt;31&lt;/item&gt;&lt;item&gt;32&lt;/item&gt;&lt;item&gt;33&lt;/item&gt;&lt;item&gt;35&lt;/item&gt;&lt;item&gt;36&lt;/item&gt;&lt;/record-ids&gt;&lt;/item&gt;&lt;/Libraries&gt;"/>
    <w:docVar w:name="EN.ReferenceGroups" w:val="&lt;reference-groups&gt;&lt;reference-group&gt;&lt;kind&gt;1&lt;/kind&gt;&lt;heading&gt;Primary Sources&lt;/heading&gt;&lt;alignment&gt;-1&lt;/alignment&gt;&lt;records&gt;&lt;/records&gt;&lt;/reference-group&gt;&lt;reference-group&gt;&lt;kind&gt;1&lt;/kind&gt;&lt;heading&gt;Secondary Sources&lt;/heading&gt;&lt;alignment&gt;-1&lt;/alignment&gt;&lt;records&gt;&lt;/records&gt;&lt;/reference-group&gt;&lt;/reference-groups&gt;"/>
  </w:docVars>
  <w:rsids>
    <w:rsidRoot w:val="00172A27"/>
    <w:rsid w:val="00002822"/>
    <w:rsid w:val="00074B48"/>
    <w:rsid w:val="00085774"/>
    <w:rsid w:val="0009095D"/>
    <w:rsid w:val="000D1A4E"/>
    <w:rsid w:val="000F1EE4"/>
    <w:rsid w:val="00172A27"/>
    <w:rsid w:val="00187338"/>
    <w:rsid w:val="00192159"/>
    <w:rsid w:val="002434A4"/>
    <w:rsid w:val="00273C21"/>
    <w:rsid w:val="003028C3"/>
    <w:rsid w:val="003B1DF7"/>
    <w:rsid w:val="00555B03"/>
    <w:rsid w:val="005A29F4"/>
    <w:rsid w:val="006A673B"/>
    <w:rsid w:val="007B1EB3"/>
    <w:rsid w:val="007B43EB"/>
    <w:rsid w:val="00845749"/>
    <w:rsid w:val="008E4878"/>
    <w:rsid w:val="00906190"/>
    <w:rsid w:val="00962304"/>
    <w:rsid w:val="009F1D2C"/>
    <w:rsid w:val="00A34935"/>
    <w:rsid w:val="00A752D6"/>
    <w:rsid w:val="00AF72CA"/>
    <w:rsid w:val="00CB7E12"/>
    <w:rsid w:val="00D302D1"/>
    <w:rsid w:val="00D47D59"/>
    <w:rsid w:val="00D72EAC"/>
    <w:rsid w:val="00DE6674"/>
    <w:rsid w:val="00E41670"/>
    <w:rsid w:val="00E427F3"/>
    <w:rsid w:val="00EA3C35"/>
    <w:rsid w:val="00EF6C0C"/>
    <w:rsid w:val="00F07D30"/>
    <w:rsid w:val="00F70EBB"/>
    <w:rsid w:val="00FB09C4"/>
    <w:rsid w:val="03497994"/>
    <w:rsid w:val="03BF6E60"/>
    <w:rsid w:val="03E0729D"/>
    <w:rsid w:val="04617683"/>
    <w:rsid w:val="04F049A8"/>
    <w:rsid w:val="05A01219"/>
    <w:rsid w:val="066C7952"/>
    <w:rsid w:val="06C14C23"/>
    <w:rsid w:val="072F1E53"/>
    <w:rsid w:val="074E7DF7"/>
    <w:rsid w:val="07945A60"/>
    <w:rsid w:val="092D1419"/>
    <w:rsid w:val="09F24F47"/>
    <w:rsid w:val="0B8E28D7"/>
    <w:rsid w:val="0CBC6EB5"/>
    <w:rsid w:val="0CD30574"/>
    <w:rsid w:val="0D96452B"/>
    <w:rsid w:val="0E3B5318"/>
    <w:rsid w:val="0EB35D00"/>
    <w:rsid w:val="0F37049E"/>
    <w:rsid w:val="10266AF6"/>
    <w:rsid w:val="108D3635"/>
    <w:rsid w:val="10D25B00"/>
    <w:rsid w:val="11E9246A"/>
    <w:rsid w:val="12A904AC"/>
    <w:rsid w:val="13BF0A91"/>
    <w:rsid w:val="140E1078"/>
    <w:rsid w:val="14501AE1"/>
    <w:rsid w:val="14B1117B"/>
    <w:rsid w:val="14D04D9E"/>
    <w:rsid w:val="15396DFB"/>
    <w:rsid w:val="16037420"/>
    <w:rsid w:val="167B2EF4"/>
    <w:rsid w:val="167B6402"/>
    <w:rsid w:val="16D51CFA"/>
    <w:rsid w:val="17065847"/>
    <w:rsid w:val="17097A17"/>
    <w:rsid w:val="19365AC2"/>
    <w:rsid w:val="198F4AE4"/>
    <w:rsid w:val="19E6338C"/>
    <w:rsid w:val="19F01E8A"/>
    <w:rsid w:val="1A135155"/>
    <w:rsid w:val="1A1D12E8"/>
    <w:rsid w:val="1B393D2C"/>
    <w:rsid w:val="1BBD7E75"/>
    <w:rsid w:val="1BF5651D"/>
    <w:rsid w:val="1C19573B"/>
    <w:rsid w:val="1C240055"/>
    <w:rsid w:val="1D6D46FD"/>
    <w:rsid w:val="1E260268"/>
    <w:rsid w:val="1E41362C"/>
    <w:rsid w:val="1E542B7C"/>
    <w:rsid w:val="1E76662A"/>
    <w:rsid w:val="1F4071A8"/>
    <w:rsid w:val="20B758B9"/>
    <w:rsid w:val="20C41114"/>
    <w:rsid w:val="20C93EA0"/>
    <w:rsid w:val="20DC0077"/>
    <w:rsid w:val="21A410C8"/>
    <w:rsid w:val="22D10350"/>
    <w:rsid w:val="23BC3A24"/>
    <w:rsid w:val="25372526"/>
    <w:rsid w:val="25D40DF2"/>
    <w:rsid w:val="26BE4859"/>
    <w:rsid w:val="27451975"/>
    <w:rsid w:val="27597696"/>
    <w:rsid w:val="27A355EA"/>
    <w:rsid w:val="28647012"/>
    <w:rsid w:val="28F06B5D"/>
    <w:rsid w:val="29FA6717"/>
    <w:rsid w:val="2A763351"/>
    <w:rsid w:val="2AB53120"/>
    <w:rsid w:val="2CAE21EF"/>
    <w:rsid w:val="2D6831F8"/>
    <w:rsid w:val="2DA61398"/>
    <w:rsid w:val="30350AE9"/>
    <w:rsid w:val="305A3701"/>
    <w:rsid w:val="31D94920"/>
    <w:rsid w:val="32DF50CC"/>
    <w:rsid w:val="33F44FD0"/>
    <w:rsid w:val="341B021A"/>
    <w:rsid w:val="344A7B81"/>
    <w:rsid w:val="37424A36"/>
    <w:rsid w:val="37A20571"/>
    <w:rsid w:val="3858413C"/>
    <w:rsid w:val="38AC7189"/>
    <w:rsid w:val="39695150"/>
    <w:rsid w:val="39C83583"/>
    <w:rsid w:val="3A762D42"/>
    <w:rsid w:val="3B654378"/>
    <w:rsid w:val="3C2E1555"/>
    <w:rsid w:val="3C5D0618"/>
    <w:rsid w:val="3C826BB2"/>
    <w:rsid w:val="3E650863"/>
    <w:rsid w:val="3E6E6368"/>
    <w:rsid w:val="3E9A6E34"/>
    <w:rsid w:val="3EBB73F9"/>
    <w:rsid w:val="3EF5516D"/>
    <w:rsid w:val="3F76339F"/>
    <w:rsid w:val="406E1374"/>
    <w:rsid w:val="408B7E87"/>
    <w:rsid w:val="424A23DF"/>
    <w:rsid w:val="42715FBA"/>
    <w:rsid w:val="4465441A"/>
    <w:rsid w:val="44D501D8"/>
    <w:rsid w:val="463E73CB"/>
    <w:rsid w:val="46554994"/>
    <w:rsid w:val="46884147"/>
    <w:rsid w:val="46C07800"/>
    <w:rsid w:val="46FC2AE5"/>
    <w:rsid w:val="478A77FC"/>
    <w:rsid w:val="481336E7"/>
    <w:rsid w:val="48CA44F1"/>
    <w:rsid w:val="49942AC5"/>
    <w:rsid w:val="4AF074FE"/>
    <w:rsid w:val="4CCF14CE"/>
    <w:rsid w:val="4CDB2544"/>
    <w:rsid w:val="4DD67B3F"/>
    <w:rsid w:val="4E141AEC"/>
    <w:rsid w:val="4E774884"/>
    <w:rsid w:val="4F183151"/>
    <w:rsid w:val="4F3544A1"/>
    <w:rsid w:val="4F651967"/>
    <w:rsid w:val="4F8657D3"/>
    <w:rsid w:val="507A3741"/>
    <w:rsid w:val="5144021D"/>
    <w:rsid w:val="51853449"/>
    <w:rsid w:val="519D3DD7"/>
    <w:rsid w:val="520D1C0A"/>
    <w:rsid w:val="53086AC1"/>
    <w:rsid w:val="532E5683"/>
    <w:rsid w:val="5465707B"/>
    <w:rsid w:val="54757548"/>
    <w:rsid w:val="55A94B80"/>
    <w:rsid w:val="560A4CB8"/>
    <w:rsid w:val="566043C2"/>
    <w:rsid w:val="56FA45C0"/>
    <w:rsid w:val="576F0714"/>
    <w:rsid w:val="585260A5"/>
    <w:rsid w:val="59C32594"/>
    <w:rsid w:val="5B2813F0"/>
    <w:rsid w:val="5B764F13"/>
    <w:rsid w:val="5B947059"/>
    <w:rsid w:val="5BDA0F3A"/>
    <w:rsid w:val="5C0E689B"/>
    <w:rsid w:val="5C327049"/>
    <w:rsid w:val="5C507220"/>
    <w:rsid w:val="5C9F5A23"/>
    <w:rsid w:val="5CE42EA1"/>
    <w:rsid w:val="5D706898"/>
    <w:rsid w:val="5EA83606"/>
    <w:rsid w:val="5EAC5402"/>
    <w:rsid w:val="5EB7464B"/>
    <w:rsid w:val="5FBF428D"/>
    <w:rsid w:val="600A1229"/>
    <w:rsid w:val="613152E5"/>
    <w:rsid w:val="61C82CFA"/>
    <w:rsid w:val="61CD6038"/>
    <w:rsid w:val="61DC47F5"/>
    <w:rsid w:val="61FA644C"/>
    <w:rsid w:val="622745E7"/>
    <w:rsid w:val="641B55C8"/>
    <w:rsid w:val="66E301B9"/>
    <w:rsid w:val="671029B4"/>
    <w:rsid w:val="680D3ADE"/>
    <w:rsid w:val="681D485E"/>
    <w:rsid w:val="681F4EFC"/>
    <w:rsid w:val="68663C1A"/>
    <w:rsid w:val="689879DF"/>
    <w:rsid w:val="69793194"/>
    <w:rsid w:val="698E59B9"/>
    <w:rsid w:val="6A7E1A72"/>
    <w:rsid w:val="6B052A73"/>
    <w:rsid w:val="6B3E67D4"/>
    <w:rsid w:val="6B7F19ED"/>
    <w:rsid w:val="6B952180"/>
    <w:rsid w:val="6DA36631"/>
    <w:rsid w:val="6DA41499"/>
    <w:rsid w:val="6E0C01FA"/>
    <w:rsid w:val="6E3C2B6A"/>
    <w:rsid w:val="6E9A1E3B"/>
    <w:rsid w:val="6F016033"/>
    <w:rsid w:val="6FEF6FAB"/>
    <w:rsid w:val="709619A8"/>
    <w:rsid w:val="70C2380D"/>
    <w:rsid w:val="70DE3D3C"/>
    <w:rsid w:val="70EB280E"/>
    <w:rsid w:val="714B4CDD"/>
    <w:rsid w:val="71C23D42"/>
    <w:rsid w:val="71D15FAE"/>
    <w:rsid w:val="7276660E"/>
    <w:rsid w:val="748F0FED"/>
    <w:rsid w:val="74CC0241"/>
    <w:rsid w:val="756C0CDC"/>
    <w:rsid w:val="75D00657"/>
    <w:rsid w:val="765353AD"/>
    <w:rsid w:val="77840CF9"/>
    <w:rsid w:val="79032A98"/>
    <w:rsid w:val="79327D64"/>
    <w:rsid w:val="79FE0FB6"/>
    <w:rsid w:val="7A72161B"/>
    <w:rsid w:val="7ADC367A"/>
    <w:rsid w:val="7C2564EB"/>
    <w:rsid w:val="7C54001F"/>
    <w:rsid w:val="7CCA0C20"/>
    <w:rsid w:val="7D1D4B3E"/>
    <w:rsid w:val="7D735997"/>
    <w:rsid w:val="7D7F4AF0"/>
    <w:rsid w:val="7D995258"/>
    <w:rsid w:val="7DB041C0"/>
    <w:rsid w:val="7E03699B"/>
    <w:rsid w:val="7EC35B36"/>
    <w:rsid w:val="7EC84AEF"/>
    <w:rsid w:val="7F736A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qFormat="1" w:unhideWhenUsed="0" w:uiPriority="0"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Calibri" w:hAnsi="Calibri" w:eastAsia="DengXian" w:cs="Arial"/>
      <w:sz w:val="22"/>
      <w:szCs w:val="22"/>
      <w:lang w:val="en-GB"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rPr>
  </w:style>
  <w:style w:type="paragraph" w:styleId="3">
    <w:name w:val="heading 2"/>
    <w:basedOn w:val="1"/>
    <w:next w:val="1"/>
    <w:qFormat/>
    <w:uiPriority w:val="0"/>
    <w:pPr>
      <w:keepNext/>
      <w:keepLines/>
      <w:spacing w:before="260" w:after="260" w:line="415" w:lineRule="auto"/>
      <w:outlineLvl w:val="1"/>
    </w:pPr>
    <w:rPr>
      <w:rFonts w:ascii="Times New Roman" w:hAnsi="Times New Roman" w:eastAsia="SimHei"/>
      <w:b/>
      <w:sz w:val="32"/>
    </w:rPr>
  </w:style>
  <w:style w:type="paragraph" w:styleId="4">
    <w:name w:val="heading 3"/>
    <w:basedOn w:val="1"/>
    <w:next w:val="1"/>
    <w:qFormat/>
    <w:uiPriority w:val="0"/>
    <w:pPr>
      <w:keepNext/>
      <w:keepLines/>
      <w:spacing w:before="260" w:after="260" w:line="415" w:lineRule="auto"/>
      <w:outlineLvl w:val="2"/>
    </w:pPr>
    <w:rPr>
      <w:b/>
      <w:sz w:val="32"/>
    </w:rPr>
  </w:style>
  <w:style w:type="character" w:default="1" w:styleId="5">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7">
    <w:name w:val="annotation text"/>
    <w:basedOn w:val="1"/>
    <w:qFormat/>
    <w:uiPriority w:val="0"/>
  </w:style>
  <w:style w:type="character" w:styleId="8">
    <w:name w:val="endnote reference"/>
    <w:basedOn w:val="5"/>
    <w:qFormat/>
    <w:uiPriority w:val="0"/>
    <w:rPr>
      <w:vertAlign w:val="superscript"/>
    </w:rPr>
  </w:style>
  <w:style w:type="paragraph" w:styleId="9">
    <w:name w:val="endnote text"/>
    <w:basedOn w:val="1"/>
    <w:qFormat/>
    <w:uiPriority w:val="0"/>
    <w:pPr>
      <w:snapToGrid w:val="0"/>
    </w:pPr>
  </w:style>
  <w:style w:type="paragraph" w:styleId="10">
    <w:name w:val="footer"/>
    <w:basedOn w:val="1"/>
    <w:qFormat/>
    <w:uiPriority w:val="0"/>
    <w:pPr>
      <w:tabs>
        <w:tab w:val="center" w:pos="4153"/>
        <w:tab w:val="right" w:pos="8306"/>
      </w:tabs>
      <w:snapToGrid w:val="0"/>
      <w:spacing w:line="240" w:lineRule="auto"/>
    </w:pPr>
    <w:rPr>
      <w:sz w:val="18"/>
      <w:szCs w:val="18"/>
    </w:rPr>
  </w:style>
  <w:style w:type="character" w:styleId="11">
    <w:name w:val="footnote reference"/>
    <w:basedOn w:val="5"/>
    <w:qFormat/>
    <w:uiPriority w:val="0"/>
    <w:rPr>
      <w:vertAlign w:val="superscript"/>
    </w:rPr>
  </w:style>
  <w:style w:type="paragraph" w:styleId="12">
    <w:name w:val="footnote text"/>
    <w:basedOn w:val="1"/>
    <w:qFormat/>
    <w:uiPriority w:val="0"/>
    <w:pPr>
      <w:snapToGrid w:val="0"/>
    </w:pPr>
    <w:rPr>
      <w:sz w:val="18"/>
      <w:szCs w:val="18"/>
    </w:rPr>
  </w:style>
  <w:style w:type="paragraph" w:styleId="13">
    <w:name w:val="header"/>
    <w:basedOn w:val="1"/>
    <w:qFormat/>
    <w:uiPriority w:val="0"/>
    <w:pPr>
      <w:tabs>
        <w:tab w:val="center" w:pos="4153"/>
        <w:tab w:val="right" w:pos="8306"/>
      </w:tabs>
      <w:snapToGrid w:val="0"/>
      <w:spacing w:line="240" w:lineRule="auto"/>
      <w:jc w:val="center"/>
    </w:pPr>
    <w:rPr>
      <w:sz w:val="18"/>
      <w:szCs w:val="18"/>
    </w:rPr>
  </w:style>
  <w:style w:type="character" w:styleId="14">
    <w:name w:val="Hyperlink"/>
    <w:basedOn w:val="5"/>
    <w:qFormat/>
    <w:uiPriority w:val="0"/>
    <w:rPr>
      <w:color w:val="0563C1"/>
      <w:u w:val="single"/>
    </w:rPr>
  </w:style>
  <w:style w:type="character" w:styleId="15">
    <w:name w:val="Placeholder Text"/>
    <w:basedOn w:val="5"/>
    <w:qFormat/>
    <w:uiPriority w:val="0"/>
    <w:rPr>
      <w:color w:val="808080"/>
    </w:rPr>
  </w:style>
  <w:style w:type="paragraph" w:customStyle="1" w:styleId="16">
    <w:name w:val="EndNote Bibliography Title"/>
    <w:basedOn w:val="1"/>
    <w:qFormat/>
    <w:uiPriority w:val="0"/>
    <w:pPr>
      <w:spacing w:after="0"/>
      <w:jc w:val="center"/>
    </w:pPr>
    <w:rPr>
      <w:rFonts w:cs="Calibri"/>
    </w:rPr>
  </w:style>
  <w:style w:type="paragraph" w:customStyle="1" w:styleId="17">
    <w:name w:val="EndNote Bibliography"/>
    <w:basedOn w:val="1"/>
    <w:qFormat/>
    <w:uiPriority w:val="0"/>
    <w:pPr>
      <w:spacing w:line="240" w:lineRule="auto"/>
    </w:pPr>
    <w:rPr>
      <w:rFonts w:cs="Calibri"/>
    </w:rPr>
  </w:style>
  <w:style w:type="paragraph" w:customStyle="1" w:styleId="18">
    <w:name w:val="Light List1"/>
    <w:basedOn w:val="1"/>
    <w:qFormat/>
    <w:uiPriority w:val="0"/>
    <w:pPr>
      <w:ind w:firstLine="200" w:firstLineChars="200"/>
    </w:pPr>
  </w:style>
  <w:style w:type="character" w:customStyle="1" w:styleId="19">
    <w:name w:val="未处理的提及1"/>
    <w:basedOn w:val="5"/>
    <w:qFormat/>
    <w:uiPriority w:val="0"/>
    <w:rPr>
      <w:color w:val="605E5C"/>
      <w:shd w:val="clear" w:color="auto" w:fill="E1DFDD"/>
    </w:rPr>
  </w:style>
  <w:style w:type="paragraph" w:customStyle="1" w:styleId="20">
    <w:name w:val="EndNote Category Heading"/>
    <w:basedOn w:val="1"/>
    <w:qFormat/>
    <w:uiPriority w:val="0"/>
    <w:pPr>
      <w:spacing w:before="120" w:after="120"/>
    </w:pPr>
    <w:rPr>
      <w:b/>
    </w:rPr>
  </w:style>
  <w:style w:type="paragraph" w:customStyle="1" w:styleId="21">
    <w:name w:val="Default"/>
    <w:unhideWhenUsed/>
    <w:qFormat/>
    <w:uiPriority w:val="99"/>
    <w:pPr>
      <w:widowControl w:val="0"/>
      <w:autoSpaceDE w:val="0"/>
      <w:autoSpaceDN w:val="0"/>
      <w:adjustRightInd w:val="0"/>
    </w:pPr>
    <w:rPr>
      <w:rFonts w:ascii="ALHMP O+ Adv O T 863180fb" w:hAnsi="ALHMP O+ Adv O T 863180fb" w:eastAsia="ALHMP O+ Adv O T 863180fb" w:cs="Times New Roman"/>
      <w:color w:val="000000"/>
      <w:sz w:val="24"/>
      <w:szCs w:val="24"/>
      <w:lang w:val="en-US" w:eastAsia="zh-CN" w:bidi="ar-SA"/>
    </w:rPr>
  </w:style>
  <w:style w:type="character" w:customStyle="1" w:styleId="22">
    <w:name w:val="Unresolved Mention"/>
    <w:basedOn w:val="5"/>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HKUST</Company>
  <Pages>4</Pages>
  <Words>10144</Words>
  <Characters>57824</Characters>
  <Lines>481</Lines>
  <Paragraphs>135</Paragraphs>
  <TotalTime>237</TotalTime>
  <ScaleCrop>false</ScaleCrop>
  <LinksUpToDate>false</LinksUpToDate>
  <CharactersWithSpaces>67833</CharactersWithSpaces>
  <Application>WPS Office_12.2.0.17545_F1E327BC-269C-435d-A152-05C5408002CA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2023-08-11T17:29:00Z</dcterms:created>
  <dc:creator>Jinbang Hu</dc:creator>
  <cp:lastModifiedBy>jinbang hu</cp:lastModifiedBy>
  <cp:lastPrinted>2024-08-01T02:42:00Z</cp:lastPrinted>
  <dcterms:modified xsi:type="dcterms:W3CDTF">2024-08-17T15:43:00Z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2057-12.2.0.17545</vt:lpwstr>
  </property>
  <property fmtid="{D5CDD505-2E9C-101B-9397-08002B2CF9AE}" pid="3" name="ICV">
    <vt:lpwstr>B542E7D51E1144A48264F9ED0FD87467_13</vt:lpwstr>
  </property>
</Properties>
</file>