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4A7ED" w14:textId="77777777" w:rsidR="00FC2A93" w:rsidRPr="00B36FBD" w:rsidRDefault="00B170B5" w:rsidP="00B170B5">
      <w:pPr>
        <w:jc w:val="center"/>
        <w:rPr>
          <w:rFonts w:ascii="Arial" w:hAnsi="Arial" w:cs="Arial"/>
          <w:sz w:val="32"/>
          <w:szCs w:val="32"/>
        </w:rPr>
      </w:pPr>
      <w:r w:rsidRPr="00B36FBD">
        <w:rPr>
          <w:rFonts w:ascii="Arial" w:hAnsi="Arial" w:cs="Arial"/>
          <w:sz w:val="32"/>
          <w:szCs w:val="32"/>
        </w:rPr>
        <w:t>Supplementary Information</w:t>
      </w:r>
    </w:p>
    <w:p w14:paraId="176DDD35" w14:textId="43EA42EE" w:rsidR="00FC2A93" w:rsidRPr="00B36FBD" w:rsidRDefault="00FC2A93" w:rsidP="00B170B5">
      <w:pPr>
        <w:jc w:val="center"/>
        <w:rPr>
          <w:rFonts w:ascii="Arial" w:hAnsi="Arial" w:cs="Arial"/>
          <w:sz w:val="24"/>
          <w:szCs w:val="24"/>
        </w:rPr>
      </w:pPr>
      <w:r w:rsidRPr="00B36FBD">
        <w:rPr>
          <w:rFonts w:ascii="Arial" w:hAnsi="Arial" w:cs="Arial"/>
          <w:sz w:val="24"/>
          <w:szCs w:val="24"/>
        </w:rPr>
        <w:t>for</w:t>
      </w:r>
    </w:p>
    <w:p w14:paraId="3C3894BE" w14:textId="70077499" w:rsidR="00FC2A93" w:rsidRPr="00B36FBD" w:rsidRDefault="00381FFC" w:rsidP="00FC2A93">
      <w:pPr>
        <w:spacing w:after="240" w:line="480" w:lineRule="auto"/>
        <w:ind w:firstLine="20"/>
        <w:jc w:val="center"/>
        <w:rPr>
          <w:rFonts w:ascii="Arial" w:hAnsi="Arial" w:cs="Arial"/>
          <w:sz w:val="28"/>
          <w:szCs w:val="28"/>
        </w:rPr>
      </w:pPr>
      <w:r w:rsidRPr="00B36FBD">
        <w:rPr>
          <w:rFonts w:ascii="Arial" w:hAnsi="Arial" w:cs="Arial"/>
          <w:sz w:val="28"/>
          <w:szCs w:val="28"/>
        </w:rPr>
        <w:t>“</w:t>
      </w:r>
      <w:r w:rsidR="00FC2A93" w:rsidRPr="00B36FBD">
        <w:rPr>
          <w:rFonts w:ascii="Arial" w:hAnsi="Arial" w:cs="Arial"/>
          <w:sz w:val="28"/>
          <w:szCs w:val="28"/>
        </w:rPr>
        <w:t>Neoantigen evolution and response to checkpoint inhibitor immunotherapy in colorectal cancer</w:t>
      </w:r>
      <w:r w:rsidRPr="00B36FBD">
        <w:rPr>
          <w:rFonts w:ascii="Arial" w:hAnsi="Arial" w:cs="Arial"/>
          <w:sz w:val="28"/>
          <w:szCs w:val="28"/>
        </w:rPr>
        <w:t>”</w:t>
      </w:r>
    </w:p>
    <w:p w14:paraId="71F93BC2" w14:textId="0C5F558B" w:rsidR="00B170B5" w:rsidRPr="00B170B5" w:rsidRDefault="00FC2A93" w:rsidP="00B170B5">
      <w:pPr>
        <w:jc w:val="center"/>
        <w:rPr>
          <w:rFonts w:ascii="Arial" w:hAnsi="Arial" w:cs="Arial"/>
          <w:sz w:val="24"/>
          <w:szCs w:val="24"/>
        </w:rPr>
      </w:pPr>
      <w:r w:rsidRPr="00FC2A93">
        <w:rPr>
          <w:rFonts w:ascii="Arial" w:hAnsi="Arial" w:cs="Arial"/>
          <w:sz w:val="24"/>
          <w:szCs w:val="24"/>
        </w:rPr>
        <w:t>Alanna Sholokhova, Kamran Kaveh, Ivana Bozic</w:t>
      </w:r>
      <w:r w:rsidR="00B170B5" w:rsidRPr="00B170B5">
        <w:rPr>
          <w:rFonts w:ascii="Arial" w:hAnsi="Arial" w:cs="Arial"/>
          <w:sz w:val="24"/>
          <w:szCs w:val="24"/>
        </w:rPr>
        <w:br/>
      </w:r>
      <w:r w:rsidR="00D50F3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342D582" wp14:editId="42573F4F">
            <wp:extent cx="5943600" cy="3343275"/>
            <wp:effectExtent l="0" t="0" r="0" b="9525"/>
            <wp:docPr id="29204355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043557" name="Graphic 292043557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66715" w14:textId="74AA9CD2" w:rsidR="00B170B5" w:rsidRPr="00FC2A93" w:rsidRDefault="00B170B5" w:rsidP="00B170B5">
      <w:pPr>
        <w:rPr>
          <w:rFonts w:ascii="Arial" w:hAnsi="Arial" w:cs="Arial"/>
          <w:b/>
          <w:bCs/>
          <w:sz w:val="24"/>
          <w:szCs w:val="24"/>
        </w:rPr>
      </w:pPr>
      <w:r w:rsidRPr="00FC2A93">
        <w:rPr>
          <w:rFonts w:ascii="Arial" w:hAnsi="Arial" w:cs="Arial"/>
          <w:b/>
          <w:bCs/>
          <w:sz w:val="24"/>
          <w:szCs w:val="24"/>
        </w:rPr>
        <w:t>Supplementary Figure 1:</w:t>
      </w:r>
      <w:r w:rsidR="00FC2A93" w:rsidRPr="00FC2A93">
        <w:rPr>
          <w:rFonts w:ascii="Arial" w:hAnsi="Arial" w:cs="Arial"/>
          <w:b/>
          <w:bCs/>
          <w:sz w:val="24"/>
          <w:szCs w:val="24"/>
        </w:rPr>
        <w:t xml:space="preserve"> Fitness scores of strong CRC neoantigens</w:t>
      </w:r>
    </w:p>
    <w:p w14:paraId="365D4FCB" w14:textId="6A30B9EF" w:rsidR="00B170B5" w:rsidRDefault="00D50F39" w:rsidP="00B170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distribution of the fitness scores of strong CRC neoantigens</w:t>
      </w:r>
      <w:r w:rsidR="00B170B5" w:rsidRPr="00B170B5">
        <w:rPr>
          <w:rFonts w:ascii="Arial" w:hAnsi="Arial" w:cs="Arial"/>
          <w:sz w:val="24"/>
          <w:szCs w:val="24"/>
        </w:rPr>
        <w:t xml:space="preserve"> are plotted with a</w:t>
      </w:r>
      <w:r w:rsidR="00352BE1">
        <w:rPr>
          <w:rFonts w:ascii="Arial" w:hAnsi="Arial" w:cs="Arial"/>
          <w:sz w:val="24"/>
          <w:szCs w:val="24"/>
        </w:rPr>
        <w:t>n</w:t>
      </w:r>
      <w:r w:rsidR="00B170B5" w:rsidRPr="00B170B5">
        <w:rPr>
          <w:rFonts w:ascii="Arial" w:hAnsi="Arial" w:cs="Arial"/>
          <w:sz w:val="24"/>
          <w:szCs w:val="24"/>
        </w:rPr>
        <w:t xml:space="preserve"> x</w:t>
      </w:r>
      <w:r w:rsidR="00381FFC">
        <w:rPr>
          <w:rFonts w:ascii="Arial" w:hAnsi="Arial" w:cs="Arial"/>
          <w:sz w:val="24"/>
          <w:szCs w:val="24"/>
        </w:rPr>
        <w:t>-axis on a log-scale</w:t>
      </w:r>
      <w:r w:rsidR="00B170B5" w:rsidRPr="00B170B5">
        <w:rPr>
          <w:rFonts w:ascii="Arial" w:hAnsi="Arial" w:cs="Arial"/>
          <w:sz w:val="24"/>
          <w:szCs w:val="24"/>
        </w:rPr>
        <w:t xml:space="preserve">. </w:t>
      </w:r>
    </w:p>
    <w:p w14:paraId="1B1FACF1" w14:textId="77777777" w:rsidR="00D50F39" w:rsidRPr="00B170B5" w:rsidRDefault="00D50F39" w:rsidP="00B170B5">
      <w:pPr>
        <w:rPr>
          <w:rFonts w:ascii="Arial" w:hAnsi="Arial" w:cs="Arial"/>
          <w:sz w:val="24"/>
          <w:szCs w:val="24"/>
        </w:rPr>
      </w:pPr>
    </w:p>
    <w:p w14:paraId="34CAFD4F" w14:textId="01E9E020" w:rsidR="00B170B5" w:rsidRPr="00B170B5" w:rsidRDefault="00B170B5" w:rsidP="00B170B5">
      <w:pPr>
        <w:rPr>
          <w:rFonts w:ascii="Arial" w:hAnsi="Arial" w:cs="Arial"/>
          <w:sz w:val="24"/>
          <w:szCs w:val="24"/>
        </w:rPr>
      </w:pPr>
      <w:r w:rsidRPr="00B170B5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8D768EB" wp14:editId="0039ED98">
            <wp:extent cx="5943600" cy="3343275"/>
            <wp:effectExtent l="0" t="0" r="0" b="9525"/>
            <wp:docPr id="16752725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272522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4877A" w14:textId="6DCCC75F" w:rsidR="00B170B5" w:rsidRPr="00FC2A93" w:rsidRDefault="00B170B5" w:rsidP="00B170B5">
      <w:pPr>
        <w:rPr>
          <w:rFonts w:ascii="Arial" w:hAnsi="Arial" w:cs="Arial"/>
          <w:b/>
          <w:bCs/>
          <w:sz w:val="24"/>
          <w:szCs w:val="24"/>
        </w:rPr>
      </w:pPr>
      <w:r w:rsidRPr="00FC2A93">
        <w:rPr>
          <w:rFonts w:ascii="Arial" w:hAnsi="Arial" w:cs="Arial"/>
          <w:b/>
          <w:bCs/>
          <w:sz w:val="24"/>
          <w:szCs w:val="24"/>
        </w:rPr>
        <w:t>Supplementary Figure 2:</w:t>
      </w:r>
      <w:r w:rsidR="00FC2A93" w:rsidRPr="00FC2A93">
        <w:rPr>
          <w:rFonts w:ascii="Arial" w:hAnsi="Arial" w:cs="Arial"/>
          <w:b/>
          <w:bCs/>
          <w:sz w:val="24"/>
          <w:szCs w:val="24"/>
        </w:rPr>
        <w:t xml:space="preserve"> Characterizing durable responses </w:t>
      </w:r>
      <w:r w:rsidR="00FC2A93">
        <w:rPr>
          <w:rFonts w:ascii="Arial" w:hAnsi="Arial" w:cs="Arial"/>
          <w:b/>
          <w:bCs/>
          <w:sz w:val="24"/>
          <w:szCs w:val="24"/>
        </w:rPr>
        <w:t xml:space="preserve">in tumors </w:t>
      </w:r>
      <w:r w:rsidR="00FC2A93" w:rsidRPr="00FC2A93">
        <w:rPr>
          <w:rFonts w:ascii="Arial" w:hAnsi="Arial" w:cs="Arial"/>
          <w:b/>
          <w:bCs/>
          <w:sz w:val="24"/>
          <w:szCs w:val="24"/>
        </w:rPr>
        <w:t>with and without clonal neoantigens</w:t>
      </w:r>
    </w:p>
    <w:p w14:paraId="2E7EB0C4" w14:textId="5A6EAADC" w:rsidR="00D50F39" w:rsidRPr="00D50F39" w:rsidRDefault="00B170B5" w:rsidP="00D50F39">
      <w:pPr>
        <w:rPr>
          <w:rFonts w:ascii="Arial" w:hAnsi="Arial" w:cs="Arial"/>
          <w:sz w:val="24"/>
          <w:szCs w:val="24"/>
          <w:lang w:val="en"/>
        </w:rPr>
      </w:pPr>
      <w:r w:rsidRPr="00B170B5">
        <w:rPr>
          <w:rFonts w:ascii="Arial" w:hAnsi="Arial" w:cs="Arial"/>
          <w:sz w:val="24"/>
          <w:szCs w:val="24"/>
        </w:rPr>
        <w:t>MMR-D in-silico tumors with durable response to therapy (DR) typically have a clonal neoantigen, but this is not strictly necessary to achieve DR. To understand how DR is achieved in the absence of a clonal neoantigen, we plot the determinants of response to therapy in both groups: DR without a clonal neoantigen, labeled “Absent” (pale blue), and DR with a clonal neoantigen, labeled “Present” (deep blue).</w:t>
      </w:r>
      <w:r w:rsidR="00D50F39" w:rsidRPr="00D50F39">
        <w:rPr>
          <w:rFonts w:ascii="Arial" w:eastAsia="Arial" w:hAnsi="Arial" w:cs="Arial"/>
          <w:b/>
          <w:kern w:val="0"/>
          <w:sz w:val="24"/>
          <w:szCs w:val="24"/>
          <w:lang w:val="en"/>
          <w14:ligatures w14:val="none"/>
        </w:rPr>
        <w:t xml:space="preserve"> </w:t>
      </w:r>
      <w:r w:rsidR="00D50F39" w:rsidRPr="00D50F39">
        <w:rPr>
          <w:rFonts w:ascii="Arial" w:hAnsi="Arial" w:cs="Arial"/>
          <w:b/>
          <w:sz w:val="24"/>
          <w:szCs w:val="24"/>
          <w:lang w:val="en"/>
        </w:rPr>
        <w:t>a</w:t>
      </w:r>
      <w:r w:rsidR="00D50F39" w:rsidRPr="00D50F39">
        <w:rPr>
          <w:rFonts w:ascii="Arial" w:hAnsi="Arial" w:cs="Arial"/>
          <w:sz w:val="24"/>
          <w:szCs w:val="24"/>
          <w:lang w:val="en"/>
        </w:rPr>
        <w:t xml:space="preserve">, </w:t>
      </w:r>
      <w:r w:rsidR="00D50F39">
        <w:rPr>
          <w:rFonts w:ascii="Arial" w:hAnsi="Arial" w:cs="Arial"/>
          <w:sz w:val="24"/>
          <w:szCs w:val="24"/>
          <w:lang w:val="en"/>
        </w:rPr>
        <w:t>Subclonal architecture in the tumor is displayed, in terms of heterogeneity, the tree index, and the total number of mutations per tumor at the start of treatment.</w:t>
      </w:r>
      <w:r w:rsidR="00D50F39" w:rsidRPr="00D50F39">
        <w:rPr>
          <w:rFonts w:ascii="Arial" w:hAnsi="Arial" w:cs="Arial"/>
          <w:sz w:val="24"/>
          <w:szCs w:val="24"/>
          <w:lang w:val="en"/>
        </w:rPr>
        <w:t xml:space="preserve"> </w:t>
      </w:r>
      <w:r w:rsidR="00D50F39" w:rsidRPr="00D50F39">
        <w:rPr>
          <w:rFonts w:ascii="Arial" w:hAnsi="Arial" w:cs="Arial"/>
          <w:b/>
          <w:sz w:val="24"/>
          <w:szCs w:val="24"/>
          <w:lang w:val="en"/>
        </w:rPr>
        <w:t>b</w:t>
      </w:r>
      <w:r w:rsidR="00D50F39" w:rsidRPr="00D50F39">
        <w:rPr>
          <w:rFonts w:ascii="Arial" w:hAnsi="Arial" w:cs="Arial"/>
          <w:sz w:val="24"/>
          <w:szCs w:val="24"/>
          <w:lang w:val="en"/>
        </w:rPr>
        <w:t xml:space="preserve">, </w:t>
      </w:r>
      <w:r w:rsidR="00D50F39">
        <w:rPr>
          <w:rFonts w:ascii="Arial" w:hAnsi="Arial" w:cs="Arial"/>
          <w:sz w:val="24"/>
          <w:szCs w:val="24"/>
          <w:lang w:val="en"/>
        </w:rPr>
        <w:t>Boxenplots demonstrate that DR tumors tend to have similar neoantigen quality</w:t>
      </w:r>
      <w:r w:rsidR="00D50F39" w:rsidRPr="00D50F39">
        <w:rPr>
          <w:rFonts w:ascii="Arial" w:hAnsi="Arial" w:cs="Arial"/>
          <w:sz w:val="24"/>
          <w:szCs w:val="24"/>
          <w:lang w:val="en"/>
        </w:rPr>
        <w:t xml:space="preserve">. </w:t>
      </w:r>
      <w:r w:rsidR="00D50F39" w:rsidRPr="00D50F39">
        <w:rPr>
          <w:rFonts w:ascii="Arial" w:hAnsi="Arial" w:cs="Arial"/>
          <w:b/>
          <w:sz w:val="24"/>
          <w:szCs w:val="24"/>
          <w:lang w:val="en"/>
        </w:rPr>
        <w:t>c</w:t>
      </w:r>
      <w:r w:rsidR="00D50F39" w:rsidRPr="00D50F39">
        <w:rPr>
          <w:rFonts w:ascii="Arial" w:hAnsi="Arial" w:cs="Arial"/>
          <w:sz w:val="24"/>
          <w:szCs w:val="24"/>
          <w:lang w:val="en"/>
        </w:rPr>
        <w:t xml:space="preserve">, </w:t>
      </w:r>
      <w:r w:rsidR="00D50F39">
        <w:rPr>
          <w:rFonts w:ascii="Arial" w:hAnsi="Arial" w:cs="Arial"/>
          <w:sz w:val="24"/>
          <w:szCs w:val="24"/>
          <w:lang w:val="en"/>
        </w:rPr>
        <w:t>The fraction of cells containing at least one neoantigen at the beginning of treatment for each MMR-D tumor is depicted via boxplots, with outliers included. DR tumors have a neoantigen fraction extremely close to 1, regardless of whether they contain a clonal neoantigen or not.</w:t>
      </w:r>
    </w:p>
    <w:p w14:paraId="2DAE53F9" w14:textId="4D501C3B" w:rsidR="00B170B5" w:rsidRDefault="00B170B5" w:rsidP="00B170B5">
      <w:pPr>
        <w:rPr>
          <w:rFonts w:ascii="Arial" w:hAnsi="Arial" w:cs="Arial"/>
          <w:sz w:val="24"/>
          <w:szCs w:val="24"/>
          <w:lang w:val="en"/>
        </w:rPr>
      </w:pPr>
    </w:p>
    <w:p w14:paraId="3A4D714D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78EC0721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7D399DE1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61318DBC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12E7D5F5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29A2988E" w14:textId="77777777" w:rsidR="000B180C" w:rsidRDefault="000B180C" w:rsidP="00B170B5">
      <w:pPr>
        <w:rPr>
          <w:rFonts w:ascii="Arial" w:hAnsi="Arial" w:cs="Arial"/>
          <w:sz w:val="24"/>
          <w:szCs w:val="24"/>
          <w:lang w:val="en"/>
        </w:rPr>
      </w:pPr>
    </w:p>
    <w:p w14:paraId="413D4B44" w14:textId="7ECED96D" w:rsidR="000B180C" w:rsidRPr="00D50F39" w:rsidRDefault="000B180C" w:rsidP="00B170B5">
      <w:pPr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noProof/>
          <w:sz w:val="24"/>
          <w:szCs w:val="24"/>
          <w:lang w:val="en"/>
        </w:rPr>
        <w:lastRenderedPageBreak/>
        <w:drawing>
          <wp:inline distT="0" distB="0" distL="0" distR="0" wp14:anchorId="60782567" wp14:editId="59DD3870">
            <wp:extent cx="5943600" cy="3343275"/>
            <wp:effectExtent l="0" t="0" r="0" b="9525"/>
            <wp:docPr id="954118077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118077" name="Graphic 954118077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84C94" w14:textId="1A2A192B" w:rsidR="00B170B5" w:rsidRPr="00FC2A93" w:rsidRDefault="00B170B5" w:rsidP="00B170B5">
      <w:pPr>
        <w:rPr>
          <w:rFonts w:ascii="Arial" w:hAnsi="Arial" w:cs="Arial"/>
          <w:b/>
          <w:bCs/>
          <w:sz w:val="28"/>
          <w:szCs w:val="28"/>
        </w:rPr>
      </w:pPr>
      <w:r w:rsidRPr="00FC2A93">
        <w:rPr>
          <w:rFonts w:ascii="Arial" w:hAnsi="Arial" w:cs="Arial"/>
          <w:b/>
          <w:bCs/>
          <w:sz w:val="24"/>
          <w:szCs w:val="24"/>
        </w:rPr>
        <w:t>Supplementary Table 1:</w:t>
      </w:r>
      <w:r w:rsidR="00FC2A93" w:rsidRPr="00FC2A93">
        <w:rPr>
          <w:rFonts w:ascii="Arial" w:hAnsi="Arial" w:cs="Arial"/>
          <w:b/>
          <w:bCs/>
          <w:sz w:val="24"/>
          <w:szCs w:val="24"/>
        </w:rPr>
        <w:t xml:space="preserve"> Parameters for branching process and immunotherapy models</w:t>
      </w:r>
    </w:p>
    <w:p w14:paraId="6BFE8A6D" w14:textId="4C502318" w:rsidR="00B170B5" w:rsidRPr="00B170B5" w:rsidRDefault="00B170B5" w:rsidP="00B170B5">
      <w:pPr>
        <w:rPr>
          <w:rFonts w:ascii="Arial" w:hAnsi="Arial" w:cs="Arial"/>
          <w:sz w:val="24"/>
          <w:szCs w:val="24"/>
        </w:rPr>
      </w:pPr>
      <w:r w:rsidRPr="00B170B5">
        <w:rPr>
          <w:rFonts w:ascii="Arial" w:hAnsi="Arial" w:cs="Arial"/>
          <w:sz w:val="24"/>
          <w:szCs w:val="24"/>
        </w:rPr>
        <w:t>Parameters for both branching process model and immunotherapy model are either sourced from literature</w:t>
      </w:r>
      <w:r w:rsidR="008E127A">
        <w:rPr>
          <w:rFonts w:ascii="Arial" w:hAnsi="Arial" w:cs="Arial"/>
          <w:sz w:val="24"/>
          <w:szCs w:val="24"/>
        </w:rPr>
        <w:t>, chosen to have reasonable values given the biological context,</w:t>
      </w:r>
      <w:r w:rsidRPr="00B170B5">
        <w:rPr>
          <w:rFonts w:ascii="Arial" w:hAnsi="Arial" w:cs="Arial"/>
          <w:sz w:val="24"/>
          <w:szCs w:val="24"/>
        </w:rPr>
        <w:t xml:space="preserve"> or fit to clinical data.</w:t>
      </w:r>
    </w:p>
    <w:p w14:paraId="5F038C55" w14:textId="77777777" w:rsidR="002A28C9" w:rsidRPr="00B170B5" w:rsidRDefault="002A28C9">
      <w:pPr>
        <w:rPr>
          <w:rFonts w:ascii="Arial" w:hAnsi="Arial" w:cs="Arial"/>
          <w:sz w:val="24"/>
          <w:szCs w:val="24"/>
        </w:rPr>
      </w:pPr>
    </w:p>
    <w:sectPr w:rsidR="002A28C9" w:rsidRPr="00B170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0B5"/>
    <w:rsid w:val="0005496A"/>
    <w:rsid w:val="000A0D82"/>
    <w:rsid w:val="000B180C"/>
    <w:rsid w:val="000C2374"/>
    <w:rsid w:val="00203D22"/>
    <w:rsid w:val="002A28C9"/>
    <w:rsid w:val="002B7710"/>
    <w:rsid w:val="00352BE1"/>
    <w:rsid w:val="00381FFC"/>
    <w:rsid w:val="00823D6B"/>
    <w:rsid w:val="008E127A"/>
    <w:rsid w:val="00B170B5"/>
    <w:rsid w:val="00B36FBD"/>
    <w:rsid w:val="00B810E0"/>
    <w:rsid w:val="00C01318"/>
    <w:rsid w:val="00D50F39"/>
    <w:rsid w:val="00D90BEF"/>
    <w:rsid w:val="00DD1F57"/>
    <w:rsid w:val="00E33ADA"/>
    <w:rsid w:val="00E90A86"/>
    <w:rsid w:val="00FC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A7043"/>
  <w15:chartTrackingRefBased/>
  <w15:docId w15:val="{6226477D-8CC7-4AB2-93B3-8E869AC6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0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70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70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70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70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70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70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70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70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Classic"/>
    <w:uiPriority w:val="1"/>
    <w:qFormat/>
    <w:rsid w:val="002B7710"/>
    <w:pPr>
      <w:spacing w:after="0" w:line="240" w:lineRule="auto"/>
    </w:pPr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170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70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70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70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70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70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0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0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70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70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70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70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70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70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70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70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70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70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70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70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50F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F3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81F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20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Alanna Sholokhova</dc:creator>
  <cp:keywords/>
  <dc:description/>
  <cp:lastModifiedBy>Alanna Sholokhova</cp:lastModifiedBy>
  <cp:revision>3</cp:revision>
  <dcterms:created xsi:type="dcterms:W3CDTF">2024-08-15T01:49:00Z</dcterms:created>
  <dcterms:modified xsi:type="dcterms:W3CDTF">2024-08-15T03:25:00Z</dcterms:modified>
</cp:coreProperties>
</file>