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68F68" w14:textId="77777777" w:rsidR="00251589" w:rsidRPr="00B8563F" w:rsidRDefault="00251589" w:rsidP="00251589">
      <w:pPr>
        <w:wordWrap/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Cs w:val="22"/>
        </w:rPr>
      </w:pPr>
      <w:r w:rsidRPr="00B8563F">
        <w:rPr>
          <w:rFonts w:ascii="Times New Roman" w:hAnsi="Times New Roman" w:cs="Times New Roman"/>
          <w:b/>
          <w:bCs/>
          <w:color w:val="000000" w:themeColor="text1"/>
          <w:szCs w:val="22"/>
        </w:rPr>
        <w:t>APPENDICES</w:t>
      </w:r>
    </w:p>
    <w:p w14:paraId="3848732E" w14:textId="77777777" w:rsidR="00251589" w:rsidRPr="00B8563F" w:rsidRDefault="00251589" w:rsidP="00251589">
      <w:pPr>
        <w:wordWrap/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Cs w:val="22"/>
        </w:rPr>
      </w:pPr>
    </w:p>
    <w:p w14:paraId="4E7782DA" w14:textId="4E404071" w:rsidR="00251589" w:rsidRPr="00B8563F" w:rsidRDefault="00251589" w:rsidP="00251589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Cs w:val="22"/>
        </w:rPr>
      </w:pPr>
      <w:r w:rsidRPr="00B8563F">
        <w:rPr>
          <w:rFonts w:ascii="Times New Roman" w:hAnsi="Times New Roman" w:cs="Times New Roman"/>
          <w:b/>
          <w:bCs/>
          <w:color w:val="000000" w:themeColor="text1"/>
          <w:szCs w:val="22"/>
        </w:rPr>
        <w:t xml:space="preserve">Appendix </w:t>
      </w:r>
      <w:r w:rsidR="00D3639E">
        <w:rPr>
          <w:rFonts w:ascii="Times New Roman" w:hAnsi="Times New Roman" w:cs="Times New Roman"/>
          <w:b/>
          <w:bCs/>
          <w:color w:val="000000" w:themeColor="text1"/>
          <w:szCs w:val="22"/>
        </w:rPr>
        <w:t>A</w:t>
      </w:r>
      <w:r w:rsidRPr="00B8563F">
        <w:rPr>
          <w:rFonts w:ascii="Times New Roman" w:hAnsi="Times New Roman" w:cs="Times New Roman"/>
          <w:b/>
          <w:bCs/>
          <w:color w:val="000000" w:themeColor="text1"/>
          <w:szCs w:val="22"/>
        </w:rPr>
        <w:t xml:space="preserve">. </w:t>
      </w:r>
      <w:r w:rsidRPr="00B8563F">
        <w:rPr>
          <w:rFonts w:ascii="Times New Roman" w:hAnsi="Times New Roman" w:cs="Times New Roman"/>
          <w:color w:val="000000" w:themeColor="text1"/>
          <w:szCs w:val="22"/>
        </w:rPr>
        <w:t>Studies included in systematic review and meta-analysis</w:t>
      </w:r>
    </w:p>
    <w:p w14:paraId="59E3C88D" w14:textId="77777777" w:rsidR="00251589" w:rsidRPr="00B8563F" w:rsidRDefault="00251589" w:rsidP="00251589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Cs w:val="22"/>
        </w:rPr>
      </w:pPr>
    </w:p>
    <w:p w14:paraId="12919D85" w14:textId="3FEB0D67" w:rsidR="00251589" w:rsidRPr="001D5424" w:rsidRDefault="00BD6B05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 xml:space="preserve">A1. 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>Tan AJQ</w:t>
      </w:r>
      <w:r>
        <w:rPr>
          <w:rFonts w:ascii="Times New Roman" w:hAnsi="Times New Roman" w:cs="Times New Roman"/>
          <w:color w:val="000000" w:themeColor="text1"/>
          <w:szCs w:val="22"/>
        </w:rPr>
        <w:t>,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 xml:space="preserve"> Lee CCS</w:t>
      </w:r>
      <w:r>
        <w:rPr>
          <w:rFonts w:ascii="Times New Roman" w:hAnsi="Times New Roman" w:cs="Times New Roman"/>
          <w:color w:val="000000" w:themeColor="text1"/>
          <w:szCs w:val="22"/>
        </w:rPr>
        <w:t>,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 xml:space="preserve"> Lin PY</w:t>
      </w:r>
      <w:r>
        <w:rPr>
          <w:rFonts w:ascii="Times New Roman" w:hAnsi="Times New Roman" w:cs="Times New Roman"/>
          <w:color w:val="000000" w:themeColor="text1"/>
          <w:szCs w:val="22"/>
        </w:rPr>
        <w:t>,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 xml:space="preserve"> Cooper S</w:t>
      </w:r>
      <w:r>
        <w:rPr>
          <w:rFonts w:ascii="Times New Roman" w:hAnsi="Times New Roman" w:cs="Times New Roman"/>
          <w:color w:val="000000" w:themeColor="text1"/>
          <w:szCs w:val="22"/>
        </w:rPr>
        <w:t>,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 xml:space="preserve"> Lau LST</w:t>
      </w:r>
      <w:r>
        <w:rPr>
          <w:rFonts w:ascii="Times New Roman" w:hAnsi="Times New Roman" w:cs="Times New Roman"/>
          <w:color w:val="000000" w:themeColor="text1"/>
          <w:szCs w:val="22"/>
        </w:rPr>
        <w:t>,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 xml:space="preserve"> Chua WL</w:t>
      </w:r>
      <w:r>
        <w:rPr>
          <w:rFonts w:ascii="Times New Roman" w:hAnsi="Times New Roman" w:cs="Times New Roman"/>
          <w:color w:val="000000" w:themeColor="text1"/>
          <w:szCs w:val="22"/>
        </w:rPr>
        <w:t xml:space="preserve">, et al. 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 xml:space="preserve">Designing and evaluating the effectiveness of a serious game for safe administration of blood transfusion: 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 xml:space="preserve"> randomized controlled trial. Nurse 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Educ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 xml:space="preserve"> Today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Cs w:val="22"/>
        </w:rPr>
        <w:t>2017;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>55</w:t>
      </w:r>
      <w:r>
        <w:rPr>
          <w:rFonts w:ascii="Times New Roman" w:hAnsi="Times New Roman" w:cs="Times New Roman"/>
          <w:color w:val="000000" w:themeColor="text1"/>
          <w:szCs w:val="22"/>
        </w:rPr>
        <w:t>:</w:t>
      </w:r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>38</w:t>
      </w:r>
      <w:proofErr w:type="gramEnd"/>
      <w:r w:rsidR="00251589" w:rsidRPr="001D5424">
        <w:rPr>
          <w:rFonts w:ascii="Times New Roman" w:hAnsi="Times New Roman" w:cs="Times New Roman"/>
          <w:color w:val="000000" w:themeColor="text1"/>
          <w:szCs w:val="22"/>
        </w:rPr>
        <w:t>-44. https://doi.org/10.1016/j.nedt.2017.04.027</w:t>
      </w:r>
    </w:p>
    <w:p w14:paraId="7754B80D" w14:textId="79B9DBCB" w:rsidR="00251589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>A2. Bayram SB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Caliskan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N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 xml:space="preserve">.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Effect of a game-based virtual reality phone application on tracheostomy care education for nursing students: 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randomized controlled trial. Nurse 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Educ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Today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gramStart"/>
      <w:r w:rsidR="00BD6B05">
        <w:rPr>
          <w:rFonts w:ascii="Times New Roman" w:hAnsi="Times New Roman" w:cs="Times New Roman"/>
          <w:color w:val="000000" w:themeColor="text1"/>
          <w:szCs w:val="22"/>
        </w:rPr>
        <w:t>2019;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79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25</w:t>
      </w:r>
      <w:proofErr w:type="gramEnd"/>
      <w:r w:rsidRPr="001D5424">
        <w:rPr>
          <w:rFonts w:ascii="Times New Roman" w:hAnsi="Times New Roman" w:cs="Times New Roman"/>
          <w:color w:val="000000" w:themeColor="text1"/>
          <w:szCs w:val="22"/>
        </w:rPr>
        <w:t>-31. https://doi.org/10.1016/j.nedt.2019.05.010</w:t>
      </w:r>
    </w:p>
    <w:p w14:paraId="0825C888" w14:textId="27DE7E20" w:rsidR="00251589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>A3. Ignacio J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Chen HC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.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The use of web-based classroom gaming to facilitate cognitive integration in undergraduate nursing students: 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mixed methods study. Nurse 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Educ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Pract</w:t>
      </w:r>
      <w:proofErr w:type="spellEnd"/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gramStart"/>
      <w:r w:rsidR="00BD6B05">
        <w:rPr>
          <w:rFonts w:ascii="Times New Roman" w:hAnsi="Times New Roman" w:cs="Times New Roman"/>
          <w:color w:val="000000" w:themeColor="text1"/>
          <w:szCs w:val="22"/>
        </w:rPr>
        <w:t>2020;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46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102820</w:t>
      </w:r>
      <w:proofErr w:type="gram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. </w:t>
      </w:r>
      <w:r w:rsidRPr="001D5424">
        <w:rPr>
          <w:rStyle w:val="anchor-text"/>
          <w:rFonts w:ascii="Times New Roman" w:hAnsi="Times New Roman" w:cs="Times New Roman"/>
          <w:color w:val="000000" w:themeColor="text1"/>
          <w:szCs w:val="22"/>
        </w:rPr>
        <w:t>https://doi.org/10.1016/j.nepr.2020.102820</w:t>
      </w:r>
    </w:p>
    <w:p w14:paraId="2C8ABBFC" w14:textId="3DA2D755" w:rsidR="00251589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>A4. Gutierrez-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Puertas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L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Garcia-Viola A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Márquez-Hernández VV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Garrido-Molina JM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Granados-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Gamez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G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Aguilera-Manrique G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 xml:space="preserve">.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Guess it (SVUAL): 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n app designed to help nursing students acquire and retain knowledge about basic and advanced life support techniques. Nurse 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Educ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Pract</w:t>
      </w:r>
      <w:proofErr w:type="spellEnd"/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 </w:t>
      </w:r>
      <w:proofErr w:type="gramStart"/>
      <w:r w:rsidR="00BD6B05">
        <w:rPr>
          <w:rFonts w:ascii="Times New Roman" w:hAnsi="Times New Roman" w:cs="Times New Roman"/>
          <w:color w:val="000000" w:themeColor="text1"/>
          <w:szCs w:val="22"/>
        </w:rPr>
        <w:t>2021;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50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102961</w:t>
      </w:r>
      <w:proofErr w:type="gram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. </w:t>
      </w:r>
      <w:r w:rsidRPr="001D5424">
        <w:rPr>
          <w:rStyle w:val="anchor-text"/>
          <w:rFonts w:ascii="Times New Roman" w:hAnsi="Times New Roman" w:cs="Times New Roman"/>
          <w:color w:val="000000" w:themeColor="text1"/>
          <w:szCs w:val="22"/>
        </w:rPr>
        <w:t>https://doi.org/10.1016/j.nepr.2020.102961</w:t>
      </w:r>
    </w:p>
    <w:p w14:paraId="615A7D53" w14:textId="08E12B60" w:rsidR="00251589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A5.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Calik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A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Kapucu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S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 xml:space="preserve">.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The effect of serious games for nursing students in clinical decision-making process: 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pilot randomized controlled trial. Games Health J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 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2022;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11(1)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30-37. https://doi.org/10.1089/g4h.2021.0180</w:t>
      </w:r>
    </w:p>
    <w:p w14:paraId="6786BDA1" w14:textId="34820E5B" w:rsidR="00251589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>A6. Gu R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Wang J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Zhang Y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Li Q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Wang S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Sun T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 xml:space="preserve">et al.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Effectiveness of a game-based mobile application in educating nursing students on flushing and locking venous catheters with pre-filled saline syringes: 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randomized controlled trial. Nurse 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Educ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Pract</w:t>
      </w:r>
      <w:proofErr w:type="spellEnd"/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 </w:t>
      </w:r>
      <w:proofErr w:type="gramStart"/>
      <w:r w:rsidR="00BD6B05">
        <w:rPr>
          <w:rFonts w:ascii="Times New Roman" w:hAnsi="Times New Roman" w:cs="Times New Roman"/>
          <w:color w:val="000000" w:themeColor="text1"/>
          <w:szCs w:val="22"/>
        </w:rPr>
        <w:t>2022;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58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103260</w:t>
      </w:r>
      <w:proofErr w:type="gramEnd"/>
      <w:r w:rsidRPr="001D5424">
        <w:rPr>
          <w:rFonts w:ascii="Times New Roman" w:hAnsi="Times New Roman" w:cs="Times New Roman"/>
          <w:color w:val="000000" w:themeColor="text1"/>
          <w:szCs w:val="22"/>
        </w:rPr>
        <w:t>. https://doi.org/10.1016/j.nepr.2021.103260</w:t>
      </w:r>
    </w:p>
    <w:p w14:paraId="3725B995" w14:textId="05470D98" w:rsidR="00251589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A7.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Elzeky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ME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Elhabashy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HM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Ali WG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Allam SM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.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Effect of gamified flipped classroom on improving nursing students’ skills competency and learning motivation: 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randomized controlled trial. BMC Nurs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 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2022;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21(1)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316. https://doi.org/10.1186/s12912-022-01096-6</w:t>
      </w:r>
    </w:p>
    <w:p w14:paraId="3D4D58C7" w14:textId="3AE5193D" w:rsidR="00251589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A8.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Sarvan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S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Efe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E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.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The effect of neonatal resuscitation training based on a serious game simulation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lastRenderedPageBreak/>
        <w:t xml:space="preserve">method on nursing students' knowledge, skills, satisfaction and self-confidence levels: 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randomized controlled trial. Nurse 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Educ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Today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 </w:t>
      </w:r>
      <w:proofErr w:type="gramStart"/>
      <w:r w:rsidR="00BD6B05">
        <w:rPr>
          <w:rFonts w:ascii="Times New Roman" w:hAnsi="Times New Roman" w:cs="Times New Roman"/>
          <w:color w:val="000000" w:themeColor="text1"/>
          <w:szCs w:val="22"/>
        </w:rPr>
        <w:t>2022;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111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105298</w:t>
      </w:r>
      <w:proofErr w:type="gramEnd"/>
      <w:r w:rsidRPr="001D5424">
        <w:rPr>
          <w:rFonts w:ascii="Times New Roman" w:hAnsi="Times New Roman" w:cs="Times New Roman"/>
          <w:color w:val="000000" w:themeColor="text1"/>
          <w:szCs w:val="22"/>
        </w:rPr>
        <w:t>. https://doi.org/10.1016/j.nedt.2022.105298</w:t>
      </w:r>
    </w:p>
    <w:p w14:paraId="5B53A75A" w14:textId="2E7AF3B7" w:rsidR="00251589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>A9. Rosa-Castillo A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García-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Pañella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O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Roselló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>-Novella A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Maestre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>-Gonzalez E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Pulpón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>-Segura A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Icart-Isern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T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 xml:space="preserve">et al.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The effectiveness of an Instagram-based educational game in a Bachelor of Nursing course: 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n experimental study. Nurse 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Educ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>Pract</w:t>
      </w:r>
      <w:proofErr w:type="spellEnd"/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 </w:t>
      </w:r>
      <w:proofErr w:type="gramStart"/>
      <w:r w:rsidR="00BD6B05">
        <w:rPr>
          <w:rFonts w:ascii="Times New Roman" w:hAnsi="Times New Roman" w:cs="Times New Roman"/>
          <w:color w:val="000000" w:themeColor="text1"/>
          <w:szCs w:val="22"/>
        </w:rPr>
        <w:t>2023;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70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103656</w:t>
      </w:r>
      <w:proofErr w:type="gramEnd"/>
      <w:r w:rsidRPr="001D5424">
        <w:rPr>
          <w:rFonts w:ascii="Times New Roman" w:hAnsi="Times New Roman" w:cs="Times New Roman"/>
          <w:color w:val="000000" w:themeColor="text1"/>
          <w:szCs w:val="22"/>
        </w:rPr>
        <w:t>. https://doi.org/10.1016/j.nepr.2023.103656</w:t>
      </w:r>
    </w:p>
    <w:p w14:paraId="33481877" w14:textId="69A6190A" w:rsidR="00251589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>A10. Tang Y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Gu R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Zhao Y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Wang J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Zhang Y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Li Q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 xml:space="preserve">et al.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Effectiveness of a game-based mobile application in educating nursing students on venous blood specimen collection: 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randomized controlled trial. Games Health J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 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2023;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12(1)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63-72. https://doi.org/10.1089/g4h.2022.0085</w:t>
      </w:r>
    </w:p>
    <w:p w14:paraId="6FDF4EDD" w14:textId="2D1CAEE1" w:rsidR="00C64960" w:rsidRPr="001D5424" w:rsidRDefault="00251589" w:rsidP="00BD6B05">
      <w:pPr>
        <w:wordWrap/>
        <w:spacing w:after="0" w:line="480" w:lineRule="auto"/>
        <w:ind w:left="396" w:hangingChars="180" w:hanging="396"/>
        <w:rPr>
          <w:rFonts w:ascii="Times New Roman" w:hAnsi="Times New Roman" w:cs="Times New Roman"/>
          <w:color w:val="000000" w:themeColor="text1"/>
          <w:szCs w:val="22"/>
        </w:rPr>
      </w:pP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A11.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Kulakaç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N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,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Çilingir</w:t>
      </w:r>
      <w:proofErr w:type="spell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D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.</w:t>
      </w:r>
      <w:r w:rsidR="001D5424" w:rsidRPr="001D5424">
        <w:rPr>
          <w:rFonts w:ascii="Times New Roman" w:hAnsi="Times New Roman" w:cs="Times New Roman"/>
          <w:color w:val="000000" w:themeColor="text1"/>
          <w:szCs w:val="22"/>
        </w:rPr>
        <w:t xml:space="preserve"> 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The effect of a serious game-based web application on stoma care education for nursing students: </w:t>
      </w:r>
      <w:r w:rsidR="001D5424">
        <w:rPr>
          <w:rFonts w:ascii="Times New Roman" w:hAnsi="Times New Roman" w:cs="Times New Roman"/>
          <w:color w:val="000000" w:themeColor="text1"/>
          <w:szCs w:val="22"/>
        </w:rPr>
        <w:t>a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 randomized controlled trial. Teach Learn </w:t>
      </w:r>
      <w:proofErr w:type="spellStart"/>
      <w:r w:rsidRPr="001D5424">
        <w:rPr>
          <w:rFonts w:ascii="Times New Roman" w:hAnsi="Times New Roman" w:cs="Times New Roman"/>
          <w:color w:val="000000" w:themeColor="text1"/>
          <w:szCs w:val="22"/>
        </w:rPr>
        <w:t>Nurs</w:t>
      </w:r>
      <w:proofErr w:type="spellEnd"/>
      <w:r w:rsidR="002F7318">
        <w:rPr>
          <w:rFonts w:ascii="Times New Roman" w:hAnsi="Times New Roman" w:cs="Times New Roman"/>
          <w:color w:val="000000" w:themeColor="text1"/>
          <w:szCs w:val="22"/>
        </w:rPr>
        <w:t>.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 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2024;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19(1</w:t>
      </w:r>
      <w:proofErr w:type="gramStart"/>
      <w:r w:rsidRPr="001D5424">
        <w:rPr>
          <w:rFonts w:ascii="Times New Roman" w:hAnsi="Times New Roman" w:cs="Times New Roman"/>
          <w:color w:val="000000" w:themeColor="text1"/>
          <w:szCs w:val="22"/>
        </w:rPr>
        <w:t>)</w:t>
      </w:r>
      <w:r w:rsidR="00BD6B05">
        <w:rPr>
          <w:rFonts w:ascii="Times New Roman" w:hAnsi="Times New Roman" w:cs="Times New Roman"/>
          <w:color w:val="000000" w:themeColor="text1"/>
          <w:szCs w:val="22"/>
        </w:rPr>
        <w:t>:</w:t>
      </w:r>
      <w:r w:rsidRPr="001D5424">
        <w:rPr>
          <w:rFonts w:ascii="Times New Roman" w:hAnsi="Times New Roman" w:cs="Times New Roman"/>
          <w:color w:val="000000" w:themeColor="text1"/>
          <w:szCs w:val="22"/>
        </w:rPr>
        <w:t>e</w:t>
      </w:r>
      <w:proofErr w:type="gramEnd"/>
      <w:r w:rsidRPr="001D5424">
        <w:rPr>
          <w:rFonts w:ascii="Times New Roman" w:hAnsi="Times New Roman" w:cs="Times New Roman"/>
          <w:color w:val="000000" w:themeColor="text1"/>
          <w:szCs w:val="22"/>
        </w:rPr>
        <w:t xml:space="preserve">126-32. </w:t>
      </w:r>
      <w:r w:rsidR="00C64960" w:rsidRPr="001D5424">
        <w:rPr>
          <w:rFonts w:ascii="Times New Roman" w:hAnsi="Times New Roman" w:cs="Times New Roman"/>
          <w:color w:val="000000" w:themeColor="text1"/>
          <w:szCs w:val="22"/>
        </w:rPr>
        <w:t>https://doi.org/10.1016/j.teln.2023.10.001</w:t>
      </w:r>
    </w:p>
    <w:p w14:paraId="1C816DDD" w14:textId="77777777" w:rsidR="00C64960" w:rsidRDefault="00C64960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br w:type="page"/>
      </w:r>
    </w:p>
    <w:p w14:paraId="1D51C703" w14:textId="7ECD96BB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Appendix </w:t>
      </w:r>
      <w:r w:rsidR="00D3639E">
        <w:rPr>
          <w:rFonts w:ascii="Times New Roman" w:eastAsia="Times New Roman" w:hAnsi="Times New Roman" w:cs="Times New Roman"/>
          <w:b/>
          <w:color w:val="000000"/>
        </w:rPr>
        <w:t>B</w:t>
      </w:r>
      <w:r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Forest plots for the sensitivity analysis</w:t>
      </w:r>
    </w:p>
    <w:p w14:paraId="654C74B6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</w:p>
    <w:p w14:paraId="412653EB" w14:textId="7E61C645" w:rsidR="00C64960" w:rsidRDefault="00D3639E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 w:rsidR="00C64960">
        <w:rPr>
          <w:rFonts w:ascii="Times New Roman" w:eastAsia="Times New Roman" w:hAnsi="Times New Roman" w:cs="Times New Roman"/>
          <w:color w:val="000000"/>
        </w:rPr>
        <w:t>1. Sensitivity analysis for knowledge</w:t>
      </w:r>
    </w:p>
    <w:p w14:paraId="766E2420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009A05F7" wp14:editId="63CBF928">
            <wp:extent cx="5683206" cy="1456266"/>
            <wp:effectExtent l="0" t="0" r="0" b="4445"/>
            <wp:docPr id="5" name="그림 1" descr="텍스트, 영수증, 스크린샷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1" descr="텍스트, 영수증, 스크린샷, 폰트이(가) 표시된 사진&#10;&#10;자동 생성된 설명"/>
                    <pic:cNvPicPr/>
                  </pic:nvPicPr>
                  <pic:blipFill>
                    <a:blip r:embed="rId6"/>
                    <a:srcRect l="2954" r="1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461" cy="1459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6CE3F2" w14:textId="00C76CFA" w:rsidR="00C64960" w:rsidRDefault="00D3639E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 w:rsidR="00C64960">
        <w:rPr>
          <w:rFonts w:ascii="Times New Roman" w:eastAsia="Times New Roman" w:hAnsi="Times New Roman" w:cs="Times New Roman"/>
          <w:color w:val="000000"/>
        </w:rPr>
        <w:t>2. Sensitivity analysis for confidence</w:t>
      </w:r>
    </w:p>
    <w:p w14:paraId="3E71B293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478B43D0" wp14:editId="44B56AFA">
            <wp:extent cx="5674995" cy="1302369"/>
            <wp:effectExtent l="0" t="0" r="1905" b="6350"/>
            <wp:docPr id="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7"/>
                    <a:srcRect l="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476" cy="131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DC8E64" w14:textId="24EC4C84" w:rsidR="00C64960" w:rsidRDefault="00D3639E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 w:rsidR="00C64960">
        <w:rPr>
          <w:rFonts w:ascii="Times New Roman" w:eastAsia="Times New Roman" w:hAnsi="Times New Roman" w:cs="Times New Roman"/>
          <w:color w:val="000000"/>
        </w:rPr>
        <w:t>3. Sensitivity analysis for performance</w:t>
      </w:r>
    </w:p>
    <w:p w14:paraId="6A4F55C3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7ED5C3F8" wp14:editId="69CC0869">
            <wp:extent cx="5758667" cy="1302327"/>
            <wp:effectExtent l="0" t="0" r="0" b="6350"/>
            <wp:docPr id="7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8"/>
                    <a:srcRect l="4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250" cy="1312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A6DD83" w14:textId="77777777" w:rsidR="00251589" w:rsidRPr="00B8563F" w:rsidRDefault="00251589" w:rsidP="00251589">
      <w:pPr>
        <w:wordWrap/>
        <w:spacing w:after="0" w:line="480" w:lineRule="auto"/>
        <w:ind w:left="330" w:hangingChars="150" w:hanging="330"/>
        <w:rPr>
          <w:rFonts w:ascii="Times New Roman" w:hAnsi="Times New Roman" w:cs="Times New Roman"/>
          <w:color w:val="000000" w:themeColor="text1"/>
          <w:szCs w:val="22"/>
        </w:rPr>
      </w:pPr>
    </w:p>
    <w:p w14:paraId="3191BFEA" w14:textId="7F36AECF" w:rsidR="00C64960" w:rsidRDefault="00C64960">
      <w:pPr>
        <w:widowControl/>
        <w:wordWrap/>
        <w:autoSpaceDE/>
        <w:autoSpaceDN/>
      </w:pPr>
      <w:r>
        <w:br w:type="page"/>
      </w:r>
    </w:p>
    <w:p w14:paraId="15E088B9" w14:textId="71114320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Appendix </w:t>
      </w:r>
      <w:r w:rsidR="00D3639E">
        <w:rPr>
          <w:rFonts w:ascii="Times New Roman" w:eastAsia="Times New Roman" w:hAnsi="Times New Roman" w:cs="Times New Roman"/>
          <w:b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</w:rPr>
        <w:t>. Funnel plots</w:t>
      </w:r>
    </w:p>
    <w:p w14:paraId="61E9CF96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</w:p>
    <w:p w14:paraId="61CD980A" w14:textId="2EC8A29A" w:rsidR="00C64960" w:rsidRDefault="00D3639E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 w:rsidR="00C64960">
        <w:rPr>
          <w:rFonts w:ascii="Times New Roman" w:eastAsia="Times New Roman" w:hAnsi="Times New Roman" w:cs="Times New Roman"/>
          <w:color w:val="000000"/>
        </w:rPr>
        <w:t>1. Funnel plot for knowledge</w:t>
      </w:r>
    </w:p>
    <w:p w14:paraId="274E9CB7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6347993C" wp14:editId="4CCE7567">
            <wp:extent cx="5729148" cy="3291840"/>
            <wp:effectExtent l="0" t="0" r="0" b="0"/>
            <wp:docPr id="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1"/>
                    <pic:cNvPicPr>
                      <a:picLocks noChangeAspect="1"/>
                    </pic:cNvPicPr>
                  </pic:nvPicPr>
                  <pic:blipFill>
                    <a:blip r:embed="rId9"/>
                    <a:srcRect l="6570" t="4082" r="11408" b="27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692" cy="3319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DECD3C" w14:textId="3F9F776A" w:rsidR="00C64960" w:rsidRDefault="00D3639E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 w:rsidR="00C64960">
        <w:rPr>
          <w:rFonts w:ascii="Times New Roman" w:eastAsia="Times New Roman" w:hAnsi="Times New Roman" w:cs="Times New Roman"/>
          <w:color w:val="000000"/>
        </w:rPr>
        <w:t>2. Funnel plot for confidence</w:t>
      </w:r>
    </w:p>
    <w:p w14:paraId="3774257A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277ACBC2" wp14:editId="2CE79510">
            <wp:extent cx="5698141" cy="3130475"/>
            <wp:effectExtent l="0" t="0" r="4445" b="0"/>
            <wp:docPr id="9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1"/>
                    <pic:cNvPicPr>
                      <a:picLocks noChangeAspect="1"/>
                    </pic:cNvPicPr>
                  </pic:nvPicPr>
                  <pic:blipFill>
                    <a:blip r:embed="rId10"/>
                    <a:srcRect l="6006" t="4833" r="10274" b="4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07" cy="3162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CE9960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</w:p>
    <w:p w14:paraId="79DEF2D4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</w:p>
    <w:p w14:paraId="796AE63B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</w:p>
    <w:p w14:paraId="7916B210" w14:textId="2DE13099" w:rsidR="00C64960" w:rsidRDefault="00D3639E" w:rsidP="00C6496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C.</w:t>
      </w:r>
      <w:r w:rsidR="00C64960">
        <w:rPr>
          <w:rFonts w:ascii="Times New Roman" w:eastAsia="Times New Roman" w:hAnsi="Times New Roman" w:cs="Times New Roman"/>
          <w:color w:val="000000"/>
        </w:rPr>
        <w:t>3. Funnel plot for performance</w:t>
      </w:r>
    </w:p>
    <w:p w14:paraId="76BA042C" w14:textId="77777777" w:rsidR="00C64960" w:rsidRDefault="00C64960" w:rsidP="00C64960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noProof/>
          <w:color w:val="000000"/>
        </w:rPr>
        <w:drawing>
          <wp:inline distT="0" distB="0" distL="0" distR="0" wp14:anchorId="4B4E5A82" wp14:editId="17F302F3">
            <wp:extent cx="5678639" cy="3195263"/>
            <wp:effectExtent l="0" t="0" r="0" b="5715"/>
            <wp:docPr id="10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1"/>
                    <pic:cNvPicPr>
                      <a:picLocks noChangeAspect="1"/>
                    </pic:cNvPicPr>
                  </pic:nvPicPr>
                  <pic:blipFill>
                    <a:blip r:embed="rId11"/>
                    <a:srcRect l="5916" t="3543" r="10908" b="39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440" cy="3215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3F0FA2" w14:textId="77777777" w:rsidR="00C64960" w:rsidRDefault="00C64960" w:rsidP="00C64960"/>
    <w:p w14:paraId="6FDD3FAB" w14:textId="77777777" w:rsidR="001D5897" w:rsidRPr="00251589" w:rsidRDefault="001D5897"/>
    <w:sectPr w:rsidR="001D5897" w:rsidRPr="00251589" w:rsidSect="00251589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E44A4" w14:textId="77777777" w:rsidR="005B7CE6" w:rsidRDefault="005B7CE6" w:rsidP="007C4874">
      <w:pPr>
        <w:spacing w:after="0"/>
      </w:pPr>
      <w:r>
        <w:separator/>
      </w:r>
    </w:p>
  </w:endnote>
  <w:endnote w:type="continuationSeparator" w:id="0">
    <w:p w14:paraId="04E62571" w14:textId="77777777" w:rsidR="005B7CE6" w:rsidRDefault="005B7CE6" w:rsidP="007C487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C9954" w14:textId="77777777" w:rsidR="005B7CE6" w:rsidRDefault="005B7CE6" w:rsidP="007C4874">
      <w:pPr>
        <w:spacing w:after="0"/>
      </w:pPr>
      <w:r>
        <w:separator/>
      </w:r>
    </w:p>
  </w:footnote>
  <w:footnote w:type="continuationSeparator" w:id="0">
    <w:p w14:paraId="2F521D62" w14:textId="77777777" w:rsidR="005B7CE6" w:rsidRDefault="005B7CE6" w:rsidP="007C487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589"/>
    <w:rsid w:val="00012643"/>
    <w:rsid w:val="0002096C"/>
    <w:rsid w:val="00062698"/>
    <w:rsid w:val="00067434"/>
    <w:rsid w:val="000D1861"/>
    <w:rsid w:val="001C79C4"/>
    <w:rsid w:val="001D5424"/>
    <w:rsid w:val="001D5897"/>
    <w:rsid w:val="00223161"/>
    <w:rsid w:val="00251589"/>
    <w:rsid w:val="00257425"/>
    <w:rsid w:val="0029658E"/>
    <w:rsid w:val="002F7318"/>
    <w:rsid w:val="00302F9B"/>
    <w:rsid w:val="00335C0A"/>
    <w:rsid w:val="00383ACA"/>
    <w:rsid w:val="003D5B33"/>
    <w:rsid w:val="00453597"/>
    <w:rsid w:val="00485818"/>
    <w:rsid w:val="00490F14"/>
    <w:rsid w:val="004D2AAD"/>
    <w:rsid w:val="00515021"/>
    <w:rsid w:val="00517FAE"/>
    <w:rsid w:val="005557B4"/>
    <w:rsid w:val="00594DE1"/>
    <w:rsid w:val="005A5BE0"/>
    <w:rsid w:val="005B7CE6"/>
    <w:rsid w:val="005E780C"/>
    <w:rsid w:val="00636646"/>
    <w:rsid w:val="00670E80"/>
    <w:rsid w:val="007170C7"/>
    <w:rsid w:val="00783550"/>
    <w:rsid w:val="007C4874"/>
    <w:rsid w:val="007D1CAF"/>
    <w:rsid w:val="007E2351"/>
    <w:rsid w:val="007E5E06"/>
    <w:rsid w:val="00873B55"/>
    <w:rsid w:val="008A6646"/>
    <w:rsid w:val="008B1F0C"/>
    <w:rsid w:val="008E61B2"/>
    <w:rsid w:val="00974736"/>
    <w:rsid w:val="009A4D2F"/>
    <w:rsid w:val="009B28C7"/>
    <w:rsid w:val="00A16715"/>
    <w:rsid w:val="00A501FD"/>
    <w:rsid w:val="00A91106"/>
    <w:rsid w:val="00B355BE"/>
    <w:rsid w:val="00B471BE"/>
    <w:rsid w:val="00B8788F"/>
    <w:rsid w:val="00BD6B05"/>
    <w:rsid w:val="00BD773F"/>
    <w:rsid w:val="00BF474F"/>
    <w:rsid w:val="00C379EB"/>
    <w:rsid w:val="00C64960"/>
    <w:rsid w:val="00C7293E"/>
    <w:rsid w:val="00CC75A5"/>
    <w:rsid w:val="00D0234A"/>
    <w:rsid w:val="00D3639E"/>
    <w:rsid w:val="00D660F7"/>
    <w:rsid w:val="00D93B8B"/>
    <w:rsid w:val="00DB725B"/>
    <w:rsid w:val="00E4672B"/>
    <w:rsid w:val="00E93CE6"/>
    <w:rsid w:val="00EB0DAE"/>
    <w:rsid w:val="00F46352"/>
    <w:rsid w:val="00FF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416C9"/>
  <w15:chartTrackingRefBased/>
  <w15:docId w15:val="{FD5036E1-8DFC-7244-B10E-FA0472610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158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nchor-text">
    <w:name w:val="anchor-text"/>
    <w:basedOn w:val="a0"/>
    <w:rsid w:val="00251589"/>
  </w:style>
  <w:style w:type="character" w:styleId="a3">
    <w:name w:val="Hyperlink"/>
    <w:basedOn w:val="a0"/>
    <w:uiPriority w:val="99"/>
    <w:unhideWhenUsed/>
    <w:rsid w:val="00C64960"/>
    <w:rPr>
      <w:color w:val="467886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64960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7C487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C4874"/>
  </w:style>
  <w:style w:type="paragraph" w:styleId="a6">
    <w:name w:val="footer"/>
    <w:basedOn w:val="a"/>
    <w:link w:val="Char0"/>
    <w:uiPriority w:val="99"/>
    <w:unhideWhenUsed/>
    <w:rsid w:val="007C48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C4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이민재</dc:creator>
  <cp:keywords/>
  <dc:description/>
  <cp:lastModifiedBy>user</cp:lastModifiedBy>
  <cp:revision>3</cp:revision>
  <dcterms:created xsi:type="dcterms:W3CDTF">2024-08-14T09:17:00Z</dcterms:created>
  <dcterms:modified xsi:type="dcterms:W3CDTF">2024-08-14T09:23:00Z</dcterms:modified>
</cp:coreProperties>
</file>