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1BA4C5" w14:textId="3D13D91A" w:rsidR="009A26E9" w:rsidRPr="00816063" w:rsidRDefault="00355D9B" w:rsidP="00816063">
      <w:pPr>
        <w:rPr>
          <w:rFonts w:ascii="Times New Roman" w:hAnsi="Times New Roman" w:cs="Times New Roman"/>
          <w:b/>
          <w:bCs/>
          <w:noProof/>
          <w:sz w:val="48"/>
          <w:szCs w:val="48"/>
          <w:lang w:val="en-US"/>
        </w:rPr>
      </w:pPr>
      <w:r w:rsidRPr="00816063">
        <w:rPr>
          <w:rFonts w:ascii="Times New Roman" w:hAnsi="Times New Roman" w:cs="Times New Roman"/>
          <w:b/>
          <w:bCs/>
          <w:sz w:val="24"/>
          <w:szCs w:val="24"/>
          <w:lang w:val="en-US"/>
        </w:rPr>
        <w:t xml:space="preserve">Supplementary Figure </w:t>
      </w:r>
      <w:r w:rsidR="009A26E9" w:rsidRPr="00816063">
        <w:rPr>
          <w:rFonts w:ascii="Times New Roman" w:hAnsi="Times New Roman" w:cs="Times New Roman"/>
          <w:b/>
          <w:bCs/>
          <w:sz w:val="24"/>
          <w:szCs w:val="24"/>
          <w:lang w:val="en-GB"/>
        </w:rPr>
        <w:t xml:space="preserve">1: </w:t>
      </w:r>
      <w:r w:rsidR="009A26E9" w:rsidRPr="00816063">
        <w:rPr>
          <w:rFonts w:ascii="Times New Roman" w:hAnsi="Times New Roman" w:cs="Times New Roman"/>
          <w:b/>
          <w:bCs/>
          <w:sz w:val="24"/>
          <w:szCs w:val="24"/>
          <w:lang w:val="en-US"/>
        </w:rPr>
        <w:t xml:space="preserve">Comparison of age distribution between </w:t>
      </w:r>
      <w:proofErr w:type="spellStart"/>
      <w:r w:rsidR="0040508C">
        <w:rPr>
          <w:rFonts w:ascii="Times New Roman" w:hAnsi="Times New Roman" w:cs="Times New Roman"/>
          <w:b/>
          <w:bCs/>
          <w:sz w:val="24"/>
          <w:szCs w:val="24"/>
          <w:lang w:val="en-US"/>
        </w:rPr>
        <w:t>s</w:t>
      </w:r>
      <w:r w:rsidR="009A26E9" w:rsidRPr="00816063">
        <w:rPr>
          <w:rFonts w:ascii="Times New Roman" w:hAnsi="Times New Roman" w:cs="Times New Roman"/>
          <w:b/>
          <w:bCs/>
          <w:sz w:val="24"/>
          <w:szCs w:val="24"/>
          <w:lang w:val="en-US"/>
        </w:rPr>
        <w:t>COVID-19</w:t>
      </w:r>
      <w:proofErr w:type="spellEnd"/>
      <w:r w:rsidR="009A26E9" w:rsidRPr="00816063">
        <w:rPr>
          <w:rFonts w:ascii="Times New Roman" w:hAnsi="Times New Roman" w:cs="Times New Roman"/>
          <w:b/>
          <w:bCs/>
          <w:sz w:val="24"/>
          <w:szCs w:val="24"/>
          <w:lang w:val="en-US"/>
        </w:rPr>
        <w:t xml:space="preserve"> and MIS-C pediatric patients</w:t>
      </w:r>
      <w:r w:rsidR="009A26E9" w:rsidRPr="00816063">
        <w:rPr>
          <w:rFonts w:ascii="Times New Roman" w:hAnsi="Times New Roman" w:cs="Times New Roman"/>
          <w:b/>
          <w:bCs/>
          <w:sz w:val="24"/>
          <w:szCs w:val="24"/>
          <w:lang w:val="en-GB"/>
        </w:rPr>
        <w:t>.</w:t>
      </w:r>
    </w:p>
    <w:p w14:paraId="14C67061" w14:textId="40748A6F" w:rsidR="009A26E9" w:rsidRPr="009A26E9" w:rsidRDefault="009A26E9" w:rsidP="001B50C0">
      <w:pPr>
        <w:pStyle w:val="Ttulo1"/>
        <w:shd w:val="clear" w:color="auto" w:fill="FFFFFF"/>
        <w:spacing w:before="0" w:line="480" w:lineRule="auto"/>
        <w:jc w:val="both"/>
        <w:rPr>
          <w:rFonts w:ascii="Times New Roman" w:hAnsi="Times New Roman" w:cs="Times New Roman"/>
          <w:b/>
          <w:bCs/>
          <w:color w:val="222222"/>
          <w:sz w:val="22"/>
          <w:szCs w:val="22"/>
          <w:lang w:val="en-US"/>
        </w:rPr>
      </w:pPr>
      <w:r>
        <w:rPr>
          <w:noProof/>
        </w:rPr>
        <w:drawing>
          <wp:inline distT="0" distB="0" distL="0" distR="0" wp14:anchorId="449DCA25" wp14:editId="1100FBA4">
            <wp:extent cx="5400040" cy="4165600"/>
            <wp:effectExtent l="0" t="0" r="0" b="6350"/>
            <wp:docPr id="1303774212" name="Imagem 2" descr="Gráfico, Gráfico de caixa estreit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774212" name="Imagem 2" descr="Gráfico, Gráfico de caixa estreita&#10;&#10;Descrição gerada automaticament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0040" cy="4165600"/>
                    </a:xfrm>
                    <a:prstGeom prst="rect">
                      <a:avLst/>
                    </a:prstGeom>
                    <a:noFill/>
                    <a:ln>
                      <a:noFill/>
                    </a:ln>
                  </pic:spPr>
                </pic:pic>
              </a:graphicData>
            </a:graphic>
          </wp:inline>
        </w:drawing>
      </w:r>
    </w:p>
    <w:p w14:paraId="61E59DF5" w14:textId="6F60934F" w:rsidR="009A26E9" w:rsidRPr="009A26E9" w:rsidRDefault="009A26E9" w:rsidP="00816063">
      <w:pPr>
        <w:pStyle w:val="Ttulo1"/>
        <w:shd w:val="clear" w:color="auto" w:fill="FFFFFF"/>
        <w:spacing w:before="0" w:line="480" w:lineRule="auto"/>
        <w:rPr>
          <w:rFonts w:ascii="Times New Roman" w:hAnsi="Times New Roman" w:cs="Times New Roman"/>
          <w:color w:val="222222"/>
          <w:sz w:val="24"/>
          <w:szCs w:val="24"/>
          <w:lang w:val="en-US"/>
        </w:rPr>
      </w:pPr>
      <w:r w:rsidRPr="009A26E9">
        <w:rPr>
          <w:rFonts w:ascii="Times New Roman" w:hAnsi="Times New Roman" w:cs="Times New Roman"/>
          <w:color w:val="222222"/>
          <w:sz w:val="24"/>
          <w:szCs w:val="24"/>
          <w:lang w:val="en-US"/>
        </w:rPr>
        <w:t xml:space="preserve">The box plots display the age distribution in months for pediatric patients diagnosed with </w:t>
      </w:r>
      <w:proofErr w:type="spellStart"/>
      <w:r>
        <w:rPr>
          <w:rFonts w:ascii="Times New Roman" w:hAnsi="Times New Roman" w:cs="Times New Roman"/>
          <w:color w:val="222222"/>
          <w:sz w:val="24"/>
          <w:szCs w:val="24"/>
          <w:lang w:val="en-US"/>
        </w:rPr>
        <w:t>s</w:t>
      </w:r>
      <w:r w:rsidRPr="009A26E9">
        <w:rPr>
          <w:rFonts w:ascii="Times New Roman" w:hAnsi="Times New Roman" w:cs="Times New Roman"/>
          <w:color w:val="222222"/>
          <w:sz w:val="24"/>
          <w:szCs w:val="24"/>
          <w:lang w:val="en-US"/>
        </w:rPr>
        <w:t>COVID-19</w:t>
      </w:r>
      <w:proofErr w:type="spellEnd"/>
      <w:r w:rsidRPr="009A26E9">
        <w:rPr>
          <w:rFonts w:ascii="Times New Roman" w:hAnsi="Times New Roman" w:cs="Times New Roman"/>
          <w:color w:val="222222"/>
          <w:sz w:val="24"/>
          <w:szCs w:val="24"/>
          <w:lang w:val="en-US"/>
        </w:rPr>
        <w:t xml:space="preserve"> (purple) and MIS-C (green). The median age, interquartile range, and individual data points are shown for each group. Wilcoxon test </w:t>
      </w:r>
      <w:r w:rsidRPr="009A26E9">
        <w:rPr>
          <w:rFonts w:ascii="Times New Roman" w:hAnsi="Times New Roman" w:cs="Times New Roman"/>
          <w:i/>
          <w:iCs/>
          <w:color w:val="222222"/>
          <w:sz w:val="24"/>
          <w:szCs w:val="24"/>
          <w:lang w:val="en-US"/>
        </w:rPr>
        <w:t>p</w:t>
      </w:r>
      <w:r>
        <w:rPr>
          <w:rFonts w:ascii="Times New Roman" w:hAnsi="Times New Roman" w:cs="Times New Roman"/>
          <w:color w:val="222222"/>
          <w:sz w:val="24"/>
          <w:szCs w:val="24"/>
          <w:lang w:val="en-US"/>
        </w:rPr>
        <w:t>-value is shown.</w:t>
      </w:r>
    </w:p>
    <w:p w14:paraId="471A7FFF" w14:textId="77777777" w:rsidR="009A26E9" w:rsidRDefault="009A26E9">
      <w:pPr>
        <w:rPr>
          <w:rFonts w:ascii="Times New Roman" w:eastAsiaTheme="majorEastAsia" w:hAnsi="Times New Roman" w:cs="Times New Roman"/>
          <w:b/>
          <w:bCs/>
          <w:color w:val="222222"/>
          <w:lang w:val="en-GB"/>
        </w:rPr>
      </w:pPr>
      <w:r>
        <w:rPr>
          <w:rFonts w:ascii="Times New Roman" w:hAnsi="Times New Roman" w:cs="Times New Roman"/>
          <w:b/>
          <w:bCs/>
          <w:color w:val="222222"/>
          <w:lang w:val="en-GB"/>
        </w:rPr>
        <w:br w:type="page"/>
      </w:r>
    </w:p>
    <w:p w14:paraId="33D4F8E9" w14:textId="3D7C914A" w:rsidR="001B50C0" w:rsidRPr="00816063" w:rsidRDefault="00355D9B" w:rsidP="00816063">
      <w:pPr>
        <w:rPr>
          <w:rFonts w:ascii="Times New Roman" w:hAnsi="Times New Roman" w:cs="Times New Roman"/>
          <w:b/>
          <w:bCs/>
          <w:noProof/>
          <w:sz w:val="48"/>
          <w:szCs w:val="48"/>
          <w:lang w:val="en-US"/>
        </w:rPr>
      </w:pPr>
      <w:r w:rsidRPr="00816063">
        <w:rPr>
          <w:rFonts w:ascii="Times New Roman" w:hAnsi="Times New Roman" w:cs="Times New Roman"/>
          <w:b/>
          <w:bCs/>
          <w:sz w:val="24"/>
          <w:szCs w:val="24"/>
          <w:lang w:val="en-US"/>
        </w:rPr>
        <w:lastRenderedPageBreak/>
        <w:t>Supplementary Figure 2</w:t>
      </w:r>
      <w:r w:rsidR="001B50C0" w:rsidRPr="00816063">
        <w:rPr>
          <w:rFonts w:ascii="Times New Roman" w:hAnsi="Times New Roman" w:cs="Times New Roman"/>
          <w:b/>
          <w:bCs/>
          <w:sz w:val="24"/>
          <w:szCs w:val="24"/>
          <w:lang w:val="en-GB"/>
        </w:rPr>
        <w:t xml:space="preserve">: Whole-exome sequencing </w:t>
      </w:r>
      <w:r w:rsidR="009A26E9" w:rsidRPr="00816063">
        <w:rPr>
          <w:rFonts w:ascii="Times New Roman" w:hAnsi="Times New Roman" w:cs="Times New Roman"/>
          <w:b/>
          <w:bCs/>
          <w:sz w:val="24"/>
          <w:szCs w:val="24"/>
          <w:lang w:val="en-US"/>
        </w:rPr>
        <w:t xml:space="preserve">coverage density distribution in </w:t>
      </w:r>
      <w:proofErr w:type="spellStart"/>
      <w:r w:rsidR="0040508C">
        <w:rPr>
          <w:rFonts w:ascii="Times New Roman" w:hAnsi="Times New Roman" w:cs="Times New Roman"/>
          <w:b/>
          <w:bCs/>
          <w:sz w:val="24"/>
          <w:szCs w:val="24"/>
          <w:lang w:val="en-US"/>
        </w:rPr>
        <w:t>s</w:t>
      </w:r>
      <w:r w:rsidR="009A26E9" w:rsidRPr="00816063">
        <w:rPr>
          <w:rFonts w:ascii="Times New Roman" w:hAnsi="Times New Roman" w:cs="Times New Roman"/>
          <w:b/>
          <w:bCs/>
          <w:sz w:val="24"/>
          <w:szCs w:val="24"/>
          <w:lang w:val="en-US"/>
        </w:rPr>
        <w:t>COVID-19</w:t>
      </w:r>
      <w:proofErr w:type="spellEnd"/>
      <w:r w:rsidR="009A26E9" w:rsidRPr="00816063">
        <w:rPr>
          <w:rFonts w:ascii="Times New Roman" w:hAnsi="Times New Roman" w:cs="Times New Roman"/>
          <w:b/>
          <w:bCs/>
          <w:sz w:val="24"/>
          <w:szCs w:val="24"/>
          <w:lang w:val="en-US"/>
        </w:rPr>
        <w:t xml:space="preserve"> and MIS-C samples</w:t>
      </w:r>
      <w:r w:rsidR="001B50C0" w:rsidRPr="00816063">
        <w:rPr>
          <w:rFonts w:ascii="Times New Roman" w:hAnsi="Times New Roman" w:cs="Times New Roman"/>
          <w:b/>
          <w:bCs/>
          <w:sz w:val="24"/>
          <w:szCs w:val="24"/>
          <w:lang w:val="en-GB"/>
        </w:rPr>
        <w:t>.</w:t>
      </w:r>
    </w:p>
    <w:p w14:paraId="34D72606" w14:textId="77777777" w:rsidR="00561EA5" w:rsidRDefault="001B50C0">
      <w:pPr>
        <w:rPr>
          <w:rFonts w:ascii="Times New Roman" w:hAnsi="Times New Roman" w:cs="Times New Roman"/>
          <w:b/>
          <w:bCs/>
          <w:color w:val="222222"/>
          <w:lang w:val="en-GB"/>
        </w:rPr>
      </w:pPr>
      <w:r w:rsidRPr="001B50C0">
        <w:rPr>
          <w:rFonts w:ascii="Times New Roman" w:hAnsi="Times New Roman" w:cs="Times New Roman"/>
          <w:b/>
          <w:bCs/>
          <w:noProof/>
          <w:color w:val="222222"/>
        </w:rPr>
        <w:drawing>
          <wp:inline distT="0" distB="0" distL="0" distR="0" wp14:anchorId="3D98D1A0" wp14:editId="2EE5F603">
            <wp:extent cx="5400040" cy="3948430"/>
            <wp:effectExtent l="0" t="0" r="0" b="0"/>
            <wp:docPr id="31" name="Imagem 30" descr="Gráfico&#10;&#10;Descrição gerada automaticamente">
              <a:extLst xmlns:a="http://schemas.openxmlformats.org/drawingml/2006/main">
                <a:ext uri="{FF2B5EF4-FFF2-40B4-BE49-F238E27FC236}">
                  <a16:creationId xmlns:a16="http://schemas.microsoft.com/office/drawing/2014/main" id="{4DFA81F9-7FE9-9260-A74F-801B02FB5B6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m 30" descr="Gráfico&#10;&#10;Descrição gerada automaticamente">
                      <a:extLst>
                        <a:ext uri="{FF2B5EF4-FFF2-40B4-BE49-F238E27FC236}">
                          <a16:creationId xmlns:a16="http://schemas.microsoft.com/office/drawing/2014/main" id="{4DFA81F9-7FE9-9260-A74F-801B02FB5B60}"/>
                        </a:ext>
                      </a:extLst>
                    </pic:cNvPr>
                    <pic:cNvPicPr>
                      <a:picLocks noChangeAspect="1"/>
                    </pic:cNvPicPr>
                  </pic:nvPicPr>
                  <pic:blipFill rotWithShape="1">
                    <a:blip r:embed="rId7">
                      <a:extLst>
                        <a:ext uri="{28A0092B-C50C-407E-A947-70E740481C1C}">
                          <a14:useLocalDpi xmlns:a14="http://schemas.microsoft.com/office/drawing/2010/main" val="0"/>
                        </a:ext>
                      </a:extLst>
                    </a:blip>
                    <a:srcRect t="6006"/>
                    <a:stretch/>
                  </pic:blipFill>
                  <pic:spPr>
                    <a:xfrm>
                      <a:off x="0" y="0"/>
                      <a:ext cx="5400040" cy="3948430"/>
                    </a:xfrm>
                    <a:prstGeom prst="rect">
                      <a:avLst/>
                    </a:prstGeom>
                  </pic:spPr>
                </pic:pic>
              </a:graphicData>
            </a:graphic>
          </wp:inline>
        </w:drawing>
      </w:r>
    </w:p>
    <w:p w14:paraId="064C7EE3" w14:textId="2C5559FA" w:rsidR="00D31229" w:rsidRDefault="009A26E9" w:rsidP="00816063">
      <w:pPr>
        <w:spacing w:line="480" w:lineRule="auto"/>
        <w:rPr>
          <w:rFonts w:ascii="Times New Roman" w:hAnsi="Times New Roman" w:cs="Times New Roman"/>
          <w:color w:val="222222"/>
          <w:sz w:val="24"/>
          <w:szCs w:val="24"/>
          <w:lang w:val="en-US"/>
        </w:rPr>
      </w:pPr>
      <w:r w:rsidRPr="009A26E9">
        <w:rPr>
          <w:rFonts w:ascii="Times New Roman" w:hAnsi="Times New Roman" w:cs="Times New Roman"/>
          <w:color w:val="222222"/>
          <w:sz w:val="24"/>
          <w:szCs w:val="24"/>
          <w:lang w:val="en-US"/>
        </w:rPr>
        <w:t xml:space="preserve">The density plot illustrates the coverage distribution for samples from </w:t>
      </w:r>
      <w:proofErr w:type="spellStart"/>
      <w:r>
        <w:rPr>
          <w:rFonts w:ascii="Times New Roman" w:hAnsi="Times New Roman" w:cs="Times New Roman"/>
          <w:color w:val="222222"/>
          <w:sz w:val="24"/>
          <w:szCs w:val="24"/>
          <w:lang w:val="en-US"/>
        </w:rPr>
        <w:t>s</w:t>
      </w:r>
      <w:r w:rsidRPr="009A26E9">
        <w:rPr>
          <w:rFonts w:ascii="Times New Roman" w:hAnsi="Times New Roman" w:cs="Times New Roman"/>
          <w:color w:val="222222"/>
          <w:sz w:val="24"/>
          <w:szCs w:val="24"/>
          <w:lang w:val="en-US"/>
        </w:rPr>
        <w:t>COVID-19</w:t>
      </w:r>
      <w:proofErr w:type="spellEnd"/>
      <w:r w:rsidRPr="009A26E9">
        <w:rPr>
          <w:rFonts w:ascii="Times New Roman" w:hAnsi="Times New Roman" w:cs="Times New Roman"/>
          <w:color w:val="222222"/>
          <w:sz w:val="24"/>
          <w:szCs w:val="24"/>
          <w:lang w:val="en-US"/>
        </w:rPr>
        <w:t xml:space="preserve"> (blue) and MIS-C (orange) groups. The x-axis represents the coverage values, while the y-axis indicates the density. Vertical dashed lines mark the </w:t>
      </w:r>
      <w:r>
        <w:rPr>
          <w:rFonts w:ascii="Times New Roman" w:hAnsi="Times New Roman" w:cs="Times New Roman"/>
          <w:color w:val="222222"/>
          <w:sz w:val="24"/>
          <w:szCs w:val="24"/>
          <w:lang w:val="en-US"/>
        </w:rPr>
        <w:t>mean</w:t>
      </w:r>
      <w:r w:rsidRPr="009A26E9">
        <w:rPr>
          <w:rFonts w:ascii="Times New Roman" w:hAnsi="Times New Roman" w:cs="Times New Roman"/>
          <w:color w:val="222222"/>
          <w:sz w:val="24"/>
          <w:szCs w:val="24"/>
          <w:lang w:val="en-US"/>
        </w:rPr>
        <w:t xml:space="preserve"> coverage for each group</w:t>
      </w:r>
      <w:r>
        <w:rPr>
          <w:rFonts w:ascii="Times New Roman" w:hAnsi="Times New Roman" w:cs="Times New Roman"/>
          <w:color w:val="222222"/>
          <w:sz w:val="24"/>
          <w:szCs w:val="24"/>
          <w:lang w:val="en-US"/>
        </w:rPr>
        <w:t>.</w:t>
      </w:r>
    </w:p>
    <w:p w14:paraId="61698729" w14:textId="77777777" w:rsidR="00D31229" w:rsidRDefault="00D31229">
      <w:pPr>
        <w:rPr>
          <w:rFonts w:ascii="Times New Roman" w:hAnsi="Times New Roman" w:cs="Times New Roman"/>
          <w:color w:val="222222"/>
          <w:sz w:val="24"/>
          <w:szCs w:val="24"/>
          <w:lang w:val="en-US"/>
        </w:rPr>
      </w:pPr>
      <w:r>
        <w:rPr>
          <w:rFonts w:ascii="Times New Roman" w:hAnsi="Times New Roman" w:cs="Times New Roman"/>
          <w:color w:val="222222"/>
          <w:sz w:val="24"/>
          <w:szCs w:val="24"/>
          <w:lang w:val="en-US"/>
        </w:rPr>
        <w:br w:type="page"/>
      </w:r>
    </w:p>
    <w:p w14:paraId="28FC050D" w14:textId="3777B707" w:rsidR="000B3CF9" w:rsidRDefault="000B3CF9" w:rsidP="000B3CF9">
      <w:pPr>
        <w:rPr>
          <w:rFonts w:ascii="Times New Roman" w:eastAsiaTheme="majorEastAsia" w:hAnsi="Times New Roman" w:cs="Times New Roman"/>
          <w:b/>
          <w:bCs/>
          <w:color w:val="222222"/>
          <w:sz w:val="32"/>
          <w:szCs w:val="32"/>
          <w:lang w:val="en-US"/>
        </w:rPr>
      </w:pPr>
      <w:r w:rsidRPr="00D31229">
        <w:rPr>
          <w:rFonts w:ascii="Times New Roman" w:eastAsiaTheme="majorEastAsia" w:hAnsi="Times New Roman" w:cs="Times New Roman"/>
          <w:b/>
          <w:bCs/>
          <w:color w:val="222222"/>
          <w:sz w:val="32"/>
          <w:szCs w:val="32"/>
          <w:lang w:val="en-US"/>
        </w:rPr>
        <w:lastRenderedPageBreak/>
        <w:t>Supplementary</w:t>
      </w:r>
      <w:r>
        <w:rPr>
          <w:rFonts w:ascii="Times New Roman" w:eastAsiaTheme="majorEastAsia" w:hAnsi="Times New Roman" w:cs="Times New Roman"/>
          <w:b/>
          <w:bCs/>
          <w:color w:val="222222"/>
          <w:sz w:val="24"/>
          <w:szCs w:val="24"/>
          <w:lang w:val="en-US"/>
        </w:rPr>
        <w:t xml:space="preserve"> </w:t>
      </w:r>
      <w:r w:rsidR="00355D9B">
        <w:rPr>
          <w:rFonts w:ascii="Times New Roman" w:eastAsiaTheme="majorEastAsia" w:hAnsi="Times New Roman" w:cs="Times New Roman"/>
          <w:b/>
          <w:bCs/>
          <w:color w:val="222222"/>
          <w:sz w:val="32"/>
          <w:szCs w:val="32"/>
          <w:lang w:val="en-US"/>
        </w:rPr>
        <w:t>note 1</w:t>
      </w:r>
    </w:p>
    <w:p w14:paraId="4017573B" w14:textId="77777777" w:rsidR="00D31229" w:rsidRDefault="00D31229" w:rsidP="00D31229">
      <w:pPr>
        <w:spacing w:after="0" w:line="480" w:lineRule="auto"/>
        <w:jc w:val="both"/>
        <w:rPr>
          <w:rFonts w:ascii="Times New Roman" w:eastAsia="Times New Roman" w:hAnsi="Times New Roman" w:cs="Times New Roman"/>
          <w:b/>
          <w:bCs/>
          <w:sz w:val="24"/>
          <w:szCs w:val="24"/>
          <w:lang w:val="en-US"/>
        </w:rPr>
      </w:pPr>
      <w:r w:rsidRPr="00D31229">
        <w:rPr>
          <w:rFonts w:ascii="Times New Roman" w:eastAsia="Times New Roman" w:hAnsi="Times New Roman" w:cs="Times New Roman"/>
          <w:b/>
          <w:bCs/>
          <w:sz w:val="24"/>
          <w:szCs w:val="24"/>
          <w:lang w:val="en-US"/>
        </w:rPr>
        <w:t>Three-dimensional protein modeling of pathogenic variants</w:t>
      </w:r>
    </w:p>
    <w:p w14:paraId="64F0B692" w14:textId="4310FFB3" w:rsidR="00D31229" w:rsidRPr="000B3CF9" w:rsidRDefault="00D31229" w:rsidP="00813065">
      <w:pPr>
        <w:spacing w:after="0" w:line="480" w:lineRule="auto"/>
        <w:ind w:firstLine="567"/>
        <w:rPr>
          <w:rFonts w:ascii="Times New Roman" w:eastAsia="Times New Roman" w:hAnsi="Times New Roman" w:cs="Times New Roman"/>
          <w:lang w:val="en-US"/>
        </w:rPr>
      </w:pPr>
      <w:r w:rsidRPr="008D062A">
        <w:rPr>
          <w:rFonts w:ascii="Times New Roman" w:eastAsia="Times New Roman" w:hAnsi="Times New Roman" w:cs="Times New Roman"/>
          <w:i/>
          <w:iCs/>
          <w:lang w:val="en-US"/>
        </w:rPr>
        <w:t>SI</w:t>
      </w:r>
      <w:r w:rsidRPr="000B3CF9">
        <w:rPr>
          <w:rFonts w:ascii="Times New Roman" w:eastAsia="Times New Roman" w:hAnsi="Times New Roman" w:cs="Times New Roman"/>
          <w:lang w:val="en-US"/>
        </w:rPr>
        <w:t xml:space="preserve"> encodes the sucrase-</w:t>
      </w:r>
      <w:proofErr w:type="spellStart"/>
      <w:r w:rsidRPr="000B3CF9">
        <w:rPr>
          <w:rFonts w:ascii="Times New Roman" w:eastAsia="Times New Roman" w:hAnsi="Times New Roman" w:cs="Times New Roman"/>
          <w:lang w:val="en-US"/>
        </w:rPr>
        <w:t>isomaltase</w:t>
      </w:r>
      <w:proofErr w:type="spellEnd"/>
      <w:r w:rsidRPr="000B3CF9">
        <w:rPr>
          <w:rFonts w:ascii="Times New Roman" w:eastAsia="Times New Roman" w:hAnsi="Times New Roman" w:cs="Times New Roman"/>
          <w:lang w:val="en-US"/>
        </w:rPr>
        <w:t xml:space="preserve"> enzyme, which plays a crucial role in the digestion and absorption of dietary carbohydrates in the intestinal brush border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a). A natural variant designated G1073D (</w:t>
      </w:r>
      <w:bookmarkStart w:id="0" w:name="_Hlk172121964"/>
      <w:r w:rsidRPr="000B3CF9">
        <w:rPr>
          <w:rFonts w:ascii="Times New Roman" w:eastAsia="Times New Roman" w:hAnsi="Times New Roman" w:cs="Times New Roman"/>
          <w:lang w:val="en-US"/>
        </w:rPr>
        <w:t>rs121912616</w:t>
      </w:r>
      <w:bookmarkEnd w:id="0"/>
      <w:r w:rsidRPr="000B3CF9">
        <w:rPr>
          <w:rFonts w:ascii="Times New Roman" w:eastAsia="Times New Roman" w:hAnsi="Times New Roman" w:cs="Times New Roman"/>
          <w:lang w:val="en-US"/>
        </w:rPr>
        <w:t>) has been identified in the SI gene and is associated with impaired carbohydrate digestion and absorption. This missense mutation involves the substitution of the small, non-polar glycine residue at position 1073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a.2) with the larger, negatively charged aspartic acid residue. Structural analysis revealed that the wild-type Gly1073 residue is situated near a loop region containing Ser1088 and Trp1089. The introduction of the bulkier aspartic acid side chain in the G1073D variant is predicted to cause significant steric hindrance with this loop, potentially disrupting the local conformation and stability of the enzyme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a.3).</w:t>
      </w:r>
    </w:p>
    <w:p w14:paraId="135116E6" w14:textId="31EBC07F" w:rsidR="00D31229" w:rsidRPr="000B3CF9" w:rsidRDefault="00D31229" w:rsidP="00813065">
      <w:pPr>
        <w:spacing w:after="0" w:line="480" w:lineRule="auto"/>
        <w:ind w:firstLine="567"/>
        <w:rPr>
          <w:rFonts w:ascii="Times New Roman" w:eastAsia="Times New Roman" w:hAnsi="Times New Roman" w:cs="Times New Roman"/>
          <w:lang w:val="en-US"/>
        </w:rPr>
      </w:pPr>
      <w:r w:rsidRPr="008D062A">
        <w:rPr>
          <w:rFonts w:ascii="Times New Roman" w:eastAsia="Times New Roman" w:hAnsi="Times New Roman" w:cs="Times New Roman"/>
          <w:i/>
          <w:iCs/>
          <w:lang w:val="en-US"/>
        </w:rPr>
        <w:t>GALE</w:t>
      </w:r>
      <w:r w:rsidRPr="000B3CF9">
        <w:rPr>
          <w:rFonts w:ascii="Times New Roman" w:eastAsia="Times New Roman" w:hAnsi="Times New Roman" w:cs="Times New Roman"/>
          <w:lang w:val="en-US"/>
        </w:rPr>
        <w:t xml:space="preserve"> encodes the UDP-glucose 4-epimerase enzyme, which catalyzes the interconversion of UDP-galactose and UDP-glucose, a critical step in the Leloir pathway of galactose metabolism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 xml:space="preserve">b). Structural analysis of the GALE enzyme in complex with its cofactor NAD+ revealed that the Gly158 is situated </w:t>
      </w:r>
      <w:proofErr w:type="gramStart"/>
      <w:r w:rsidRPr="000B3CF9">
        <w:rPr>
          <w:rFonts w:ascii="Times New Roman" w:eastAsia="Times New Roman" w:hAnsi="Times New Roman" w:cs="Times New Roman"/>
          <w:lang w:val="en-US"/>
        </w:rPr>
        <w:t>in close proximity to</w:t>
      </w:r>
      <w:proofErr w:type="gramEnd"/>
      <w:r w:rsidRPr="000B3CF9">
        <w:rPr>
          <w:rFonts w:ascii="Times New Roman" w:eastAsia="Times New Roman" w:hAnsi="Times New Roman" w:cs="Times New Roman"/>
          <w:lang w:val="en-US"/>
        </w:rPr>
        <w:t xml:space="preserve"> Tyr157, which acts as the active site proton acceptor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b.2). Notably, Tyr157 forms a hydrogen bond with the nicotinamide ring of NAD+, highlighting its importance in cofactor binding and catalysis. The G158S (</w:t>
      </w:r>
      <w:bookmarkStart w:id="1" w:name="_Hlk172121986"/>
      <w:r w:rsidRPr="000B3CF9">
        <w:rPr>
          <w:rFonts w:ascii="Times New Roman" w:eastAsia="Times New Roman" w:hAnsi="Times New Roman" w:cs="Times New Roman"/>
          <w:lang w:val="en-US"/>
        </w:rPr>
        <w:t>rs374106365</w:t>
      </w:r>
      <w:bookmarkEnd w:id="1"/>
      <w:r w:rsidRPr="000B3CF9">
        <w:rPr>
          <w:rFonts w:ascii="Times New Roman" w:eastAsia="Times New Roman" w:hAnsi="Times New Roman" w:cs="Times New Roman"/>
          <w:lang w:val="en-US"/>
        </w:rPr>
        <w:t>) missense mutation, which substitutes the small glycine residue with the larger, polar serine, is predicted to induce significant structural changes. In the mutant structure, the serine residue at position 158 is predicted to form new hydrogen bond interactions with threonine 134 (Thr134) and asparagine 155 (Asn155)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b.3). These novel hydrogen bond formations were not observed in the wild-type structure, suggesting that the G158S mutation could potentially alter the local conformational dynamics and active site architecture of GALE.</w:t>
      </w:r>
    </w:p>
    <w:p w14:paraId="28E83971" w14:textId="644175DB" w:rsidR="00D31229" w:rsidRPr="000B3CF9" w:rsidRDefault="00D31229" w:rsidP="00813065">
      <w:pPr>
        <w:spacing w:after="0" w:line="480" w:lineRule="auto"/>
        <w:ind w:firstLine="567"/>
        <w:rPr>
          <w:rFonts w:ascii="Times New Roman" w:eastAsia="Times New Roman" w:hAnsi="Times New Roman" w:cs="Times New Roman"/>
          <w:lang w:val="en-US"/>
        </w:rPr>
      </w:pPr>
      <w:r w:rsidRPr="008D062A">
        <w:rPr>
          <w:rFonts w:ascii="Times New Roman" w:eastAsia="Times New Roman" w:hAnsi="Times New Roman" w:cs="Times New Roman"/>
          <w:i/>
          <w:iCs/>
          <w:lang w:val="en-US"/>
        </w:rPr>
        <w:t>GALT</w:t>
      </w:r>
      <w:r w:rsidRPr="000B3CF9">
        <w:rPr>
          <w:rFonts w:ascii="Times New Roman" w:eastAsia="Times New Roman" w:hAnsi="Times New Roman" w:cs="Times New Roman"/>
          <w:lang w:val="en-US"/>
        </w:rPr>
        <w:t xml:space="preserve"> encodes the enzyme galactose-1-phosphate </w:t>
      </w:r>
      <w:proofErr w:type="spellStart"/>
      <w:r w:rsidRPr="000B3CF9">
        <w:rPr>
          <w:rFonts w:ascii="Times New Roman" w:eastAsia="Times New Roman" w:hAnsi="Times New Roman" w:cs="Times New Roman"/>
          <w:lang w:val="en-US"/>
        </w:rPr>
        <w:t>uridylyltransferase</w:t>
      </w:r>
      <w:proofErr w:type="spellEnd"/>
      <w:r w:rsidRPr="000B3CF9">
        <w:rPr>
          <w:rFonts w:ascii="Times New Roman" w:eastAsia="Times New Roman" w:hAnsi="Times New Roman" w:cs="Times New Roman"/>
          <w:lang w:val="en-US"/>
        </w:rPr>
        <w:t>, which catalyzes a key step in the metabolism of galactose by converting galactose-1-phosphate and UDP-glucose to glucose-1-phosphate and UDP-galactose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 xml:space="preserve">c). A natural variant designated Q188R </w:t>
      </w:r>
      <w:r w:rsidRPr="000B3CF9">
        <w:rPr>
          <w:rFonts w:ascii="Times New Roman" w:eastAsia="Times New Roman" w:hAnsi="Times New Roman" w:cs="Times New Roman"/>
          <w:lang w:val="en-US"/>
        </w:rPr>
        <w:lastRenderedPageBreak/>
        <w:t>(</w:t>
      </w:r>
      <w:bookmarkStart w:id="2" w:name="_Hlk172121999"/>
      <w:r w:rsidRPr="000B3CF9">
        <w:rPr>
          <w:rFonts w:ascii="Times New Roman" w:eastAsia="Times New Roman" w:hAnsi="Times New Roman" w:cs="Times New Roman"/>
          <w:lang w:val="en-US"/>
        </w:rPr>
        <w:t>rs75391579</w:t>
      </w:r>
      <w:bookmarkEnd w:id="2"/>
      <w:r w:rsidRPr="000B3CF9">
        <w:rPr>
          <w:rFonts w:ascii="Times New Roman" w:eastAsia="Times New Roman" w:hAnsi="Times New Roman" w:cs="Times New Roman"/>
          <w:lang w:val="en-US"/>
        </w:rPr>
        <w:t>) has been identified in GALT and is associated with a severe form of galactosemia, a metabolic disorder characterized by the impaired ability to metabolize galactose. The Q188R variant involves the substitution of the medium-sized, polar glutamine residue with the larger, basic arginine residue within the active site of the enzyme. Structural analysis revealed that the wild-type Gln188 residue forms crucial hydrogen bond interactions with Trp190 and the ligands 1-O-phosphono-alpha-D-glucopyranose (G1P) and 5,6-dihydrouridine-5'-monophosphate (H2U)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c.2). However, the Q188R mutation is predicted to disrupt these interactions due to the introduction of the larger, positively charged arginine side chain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 xml:space="preserve">c.3). The loss of hydrogen bonding interactions with Trp190 and the ligands is anticipated to impair the proper folding and stability of the enzyme, consequently reducing its catalytic activity. In fact, the Q188R variant is associated with approximately 10% of normal galactose-1-phosphate </w:t>
      </w:r>
      <w:proofErr w:type="spellStart"/>
      <w:r w:rsidRPr="000B3CF9">
        <w:rPr>
          <w:rFonts w:ascii="Times New Roman" w:eastAsia="Times New Roman" w:hAnsi="Times New Roman" w:cs="Times New Roman"/>
          <w:lang w:val="en-US"/>
        </w:rPr>
        <w:t>uridylyltransferase</w:t>
      </w:r>
      <w:proofErr w:type="spellEnd"/>
      <w:r w:rsidRPr="000B3CF9">
        <w:rPr>
          <w:rFonts w:ascii="Times New Roman" w:eastAsia="Times New Roman" w:hAnsi="Times New Roman" w:cs="Times New Roman"/>
          <w:lang w:val="en-US"/>
        </w:rPr>
        <w:t xml:space="preserve"> activity, underscoring its pathogenic nature. Furthermore, this variant is implicated in increasing the rate of protein aggregation in the absence of zinc, potentially due to its reduced ability to form the uridylated intermediate, a crucial step in the enzyme's catalytic mechanism.</w:t>
      </w:r>
    </w:p>
    <w:p w14:paraId="6FF06D41" w14:textId="7A94CE28" w:rsidR="00D31229" w:rsidRPr="000B3CF9" w:rsidRDefault="00D31229" w:rsidP="00813065">
      <w:pPr>
        <w:spacing w:after="0" w:line="480" w:lineRule="auto"/>
        <w:ind w:firstLine="567"/>
        <w:rPr>
          <w:rFonts w:ascii="Times New Roman" w:eastAsia="Times New Roman" w:hAnsi="Times New Roman" w:cs="Times New Roman"/>
          <w:lang w:val="en-US"/>
        </w:rPr>
      </w:pPr>
      <w:r w:rsidRPr="008D062A">
        <w:rPr>
          <w:rFonts w:ascii="Times New Roman" w:eastAsia="Times New Roman" w:hAnsi="Times New Roman" w:cs="Times New Roman"/>
          <w:i/>
          <w:iCs/>
          <w:lang w:val="en-US"/>
        </w:rPr>
        <w:t>GANC</w:t>
      </w:r>
      <w:r w:rsidRPr="000B3CF9">
        <w:rPr>
          <w:rFonts w:ascii="Times New Roman" w:eastAsia="Times New Roman" w:hAnsi="Times New Roman" w:cs="Times New Roman"/>
          <w:lang w:val="en-US"/>
        </w:rPr>
        <w:t xml:space="preserve"> encodes the glucosidase alpha, neutral C enzyme, which plays a crucial role in the lysosomal degradation of glycogen by hydrolyzing the </w:t>
      </w:r>
      <w:r w:rsidRPr="000B3CF9">
        <w:rPr>
          <w:rFonts w:ascii="Times New Roman" w:eastAsia="Times New Roman" w:hAnsi="Times New Roman" w:cs="Times New Roman"/>
        </w:rPr>
        <w:t>α</w:t>
      </w:r>
      <w:r w:rsidRPr="000B3CF9">
        <w:rPr>
          <w:rFonts w:ascii="Times New Roman" w:eastAsia="Times New Roman" w:hAnsi="Times New Roman" w:cs="Times New Roman"/>
          <w:lang w:val="en-US"/>
        </w:rPr>
        <w:t xml:space="preserve">-1,4 and </w:t>
      </w:r>
      <w:r w:rsidRPr="000B3CF9">
        <w:rPr>
          <w:rFonts w:ascii="Times New Roman" w:eastAsia="Times New Roman" w:hAnsi="Times New Roman" w:cs="Times New Roman"/>
        </w:rPr>
        <w:t>α</w:t>
      </w:r>
      <w:r w:rsidRPr="000B3CF9">
        <w:rPr>
          <w:rFonts w:ascii="Times New Roman" w:eastAsia="Times New Roman" w:hAnsi="Times New Roman" w:cs="Times New Roman"/>
          <w:lang w:val="en-US"/>
        </w:rPr>
        <w:t>-1,6 glycosidic linkages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d). The N371Y (</w:t>
      </w:r>
      <w:bookmarkStart w:id="3" w:name="_Hlk172122018"/>
      <w:r w:rsidRPr="000B3CF9">
        <w:rPr>
          <w:rFonts w:ascii="Times New Roman" w:eastAsia="Times New Roman" w:hAnsi="Times New Roman" w:cs="Times New Roman"/>
          <w:lang w:val="en-US"/>
        </w:rPr>
        <w:t>rs751368632</w:t>
      </w:r>
      <w:bookmarkEnd w:id="3"/>
      <w:r w:rsidRPr="000B3CF9">
        <w:rPr>
          <w:rFonts w:ascii="Times New Roman" w:eastAsia="Times New Roman" w:hAnsi="Times New Roman" w:cs="Times New Roman"/>
          <w:lang w:val="en-US"/>
        </w:rPr>
        <w:t>) missense mutation in GANC is predicted to cause significant steric hindrance within the enzyme's structure. The substitution of the smaller, uncharged asparagine residue at position 371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d.2) with the larger, aromatic tyrosine side chain is anticipated to result in clashes with the neighboring residues Asp398 and Trp370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d.3). This steric hindrance could disrupt the precise packing and folding of the local structural environment, potentially destabilizing the overall tertiary structure of the enzyme.</w:t>
      </w:r>
    </w:p>
    <w:p w14:paraId="759C4235" w14:textId="3EDD36D2" w:rsidR="00D31229" w:rsidRPr="000B3CF9" w:rsidRDefault="00D31229" w:rsidP="00813065">
      <w:pPr>
        <w:spacing w:after="0" w:line="480" w:lineRule="auto"/>
        <w:ind w:firstLine="567"/>
        <w:rPr>
          <w:rFonts w:ascii="Times New Roman" w:eastAsia="Times New Roman" w:hAnsi="Times New Roman" w:cs="Times New Roman"/>
          <w:lang w:val="en-US"/>
        </w:rPr>
      </w:pPr>
      <w:r w:rsidRPr="008D062A">
        <w:rPr>
          <w:rFonts w:ascii="Times New Roman" w:eastAsia="Times New Roman" w:hAnsi="Times New Roman" w:cs="Times New Roman"/>
          <w:i/>
          <w:iCs/>
          <w:lang w:val="en-US"/>
        </w:rPr>
        <w:t>PHKA1</w:t>
      </w:r>
      <w:r w:rsidRPr="000B3CF9">
        <w:rPr>
          <w:rFonts w:ascii="Times New Roman" w:eastAsia="Times New Roman" w:hAnsi="Times New Roman" w:cs="Times New Roman"/>
          <w:lang w:val="en-US"/>
        </w:rPr>
        <w:t xml:space="preserve"> encodes the phosphorylase b kinase regulatory subunit alpha, skeletal muscle isoform, which plays a crucial role in the regulation of glycogen metabolism by activating glycogen phosphorylase through phosphorylation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e). Structural analysis revealed an intricate hydrogen bond network involving Arg1124, Asn1116, Asn1065, and Glu1112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 xml:space="preserve">e). Specifically, Arg1124 forms a hydrogen bond with Asn1116, which in turn participates in a </w:t>
      </w:r>
      <w:r w:rsidRPr="000B3CF9">
        <w:rPr>
          <w:rFonts w:ascii="Times New Roman" w:eastAsia="Times New Roman" w:hAnsi="Times New Roman" w:cs="Times New Roman"/>
          <w:lang w:val="en-US"/>
        </w:rPr>
        <w:lastRenderedPageBreak/>
        <w:t>hydrogen bond interaction with Asn1065. Additionally, Asn1065 engages in a hydrogen bond with Glu1112, forming an interconnected network of hydrogen bonds within this region of the protein. The R1124H (</w:t>
      </w:r>
      <w:bookmarkStart w:id="4" w:name="_Hlk172122061"/>
      <w:r w:rsidRPr="000B3CF9">
        <w:rPr>
          <w:rFonts w:ascii="Times New Roman" w:eastAsia="Times New Roman" w:hAnsi="Times New Roman" w:cs="Times New Roman"/>
          <w:lang w:val="en-US"/>
        </w:rPr>
        <w:t>rs782546754</w:t>
      </w:r>
      <w:bookmarkEnd w:id="4"/>
      <w:r w:rsidRPr="000B3CF9">
        <w:rPr>
          <w:rFonts w:ascii="Times New Roman" w:eastAsia="Times New Roman" w:hAnsi="Times New Roman" w:cs="Times New Roman"/>
          <w:lang w:val="en-US"/>
        </w:rPr>
        <w:t>) missense mutation, which substitutes the positively charged arginine residue with a histidine, is predicted to disrupt the hydrogen bond interaction with Asn1116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e.3). This disruption could potentially influence the stability of the hydrogen bond network involving Asn1116, Asn1065, and Glu1112, leading to structural perturbations within this region of the enzyme.</w:t>
      </w:r>
    </w:p>
    <w:p w14:paraId="06A4E52B" w14:textId="70F0FB2A" w:rsidR="00D31229" w:rsidRPr="000B3CF9" w:rsidRDefault="00D31229" w:rsidP="00813065">
      <w:pPr>
        <w:spacing w:after="0" w:line="480" w:lineRule="auto"/>
        <w:ind w:firstLine="567"/>
        <w:rPr>
          <w:rFonts w:ascii="Times New Roman" w:eastAsia="Times New Roman" w:hAnsi="Times New Roman" w:cs="Times New Roman"/>
          <w:lang w:val="en-US"/>
        </w:rPr>
      </w:pPr>
      <w:r w:rsidRPr="008D062A">
        <w:rPr>
          <w:rFonts w:ascii="Times New Roman" w:eastAsia="Times New Roman" w:hAnsi="Times New Roman" w:cs="Times New Roman"/>
          <w:i/>
          <w:iCs/>
          <w:lang w:val="en-US"/>
        </w:rPr>
        <w:t>PYGM</w:t>
      </w:r>
      <w:r w:rsidRPr="000B3CF9">
        <w:rPr>
          <w:rFonts w:ascii="Times New Roman" w:eastAsia="Times New Roman" w:hAnsi="Times New Roman" w:cs="Times New Roman"/>
          <w:lang w:val="en-US"/>
        </w:rPr>
        <w:t xml:space="preserve"> encodes the glycogen phosphorylase muscle form, a crucial enzyme involved in the breakdown of glycogen, the primary storage form of glucose in skeletal muscle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f). Structural analysis of PYGM revealed that the A365V (</w:t>
      </w:r>
      <w:bookmarkStart w:id="5" w:name="_Hlk172122089"/>
      <w:r w:rsidRPr="000B3CF9">
        <w:rPr>
          <w:rFonts w:ascii="Times New Roman" w:eastAsia="Times New Roman" w:hAnsi="Times New Roman" w:cs="Times New Roman"/>
          <w:lang w:val="en-US"/>
        </w:rPr>
        <w:t>rs116135678</w:t>
      </w:r>
      <w:bookmarkEnd w:id="5"/>
      <w:r w:rsidRPr="000B3CF9">
        <w:rPr>
          <w:rFonts w:ascii="Times New Roman" w:eastAsia="Times New Roman" w:hAnsi="Times New Roman" w:cs="Times New Roman"/>
          <w:lang w:val="en-US"/>
        </w:rPr>
        <w:t>) missense mutation could result in significant steric hindrance. The substitution of the small, non-bulky alanine residue at position 365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f.2) with the larger, branched-chain valine side chain is predicted to cause clashes with the neighboring residues Met351, Met360, and Leu354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f.3). These steric conflicts arising from introducing the bulkier valine residue could disrupt the precise packing and folding of the local structural environment, potentially destabilizing the overall tertiary structure and conformational dynamics of the glycogen phosphorylase muscle form.</w:t>
      </w:r>
    </w:p>
    <w:p w14:paraId="77A4CD5D" w14:textId="1C9A7570" w:rsidR="00D31229" w:rsidRDefault="00D31229" w:rsidP="00813065">
      <w:pPr>
        <w:spacing w:after="0" w:line="480" w:lineRule="auto"/>
        <w:ind w:firstLine="567"/>
        <w:rPr>
          <w:rFonts w:ascii="Times New Roman" w:eastAsia="Times New Roman" w:hAnsi="Times New Roman" w:cs="Times New Roman"/>
          <w:lang w:val="en-US"/>
        </w:rPr>
      </w:pPr>
      <w:r w:rsidRPr="008D062A">
        <w:rPr>
          <w:rFonts w:ascii="Times New Roman" w:eastAsia="Times New Roman" w:hAnsi="Times New Roman" w:cs="Times New Roman"/>
          <w:i/>
          <w:iCs/>
          <w:lang w:val="en-US"/>
        </w:rPr>
        <w:t>AMY2B</w:t>
      </w:r>
      <w:r w:rsidRPr="000B3CF9">
        <w:rPr>
          <w:rFonts w:ascii="Times New Roman" w:eastAsia="Times New Roman" w:hAnsi="Times New Roman" w:cs="Times New Roman"/>
          <w:lang w:val="en-US"/>
        </w:rPr>
        <w:t xml:space="preserve"> encodes the alpha-amylase 2B enzyme, which plays a crucial role in the breakdown of dietary starch and glycogen</w:t>
      </w:r>
      <w:r w:rsidR="000B3CF9" w:rsidRPr="000B3CF9">
        <w:rPr>
          <w:rFonts w:ascii="Times New Roman" w:eastAsia="Times New Roman" w:hAnsi="Times New Roman" w:cs="Times New Roman"/>
          <w:color w:val="000000"/>
          <w:vertAlign w:val="superscript"/>
          <w:lang w:val="en-US"/>
        </w:rPr>
        <w:t xml:space="preserve"> </w:t>
      </w:r>
      <w:r w:rsidRPr="000B3CF9">
        <w:rPr>
          <w:rFonts w:ascii="Times New Roman" w:eastAsia="Times New Roman" w:hAnsi="Times New Roman" w:cs="Times New Roman"/>
          <w:lang w:val="en-US"/>
        </w:rPr>
        <w:t>(</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g). Structural analysis revealed that the P243H (</w:t>
      </w:r>
      <w:bookmarkStart w:id="6" w:name="_Hlk172122102"/>
      <w:r w:rsidRPr="000B3CF9">
        <w:rPr>
          <w:rFonts w:ascii="Times New Roman" w:eastAsia="Times New Roman" w:hAnsi="Times New Roman" w:cs="Times New Roman"/>
          <w:lang w:val="en-US"/>
        </w:rPr>
        <w:t>rs137860562</w:t>
      </w:r>
      <w:bookmarkEnd w:id="6"/>
      <w:r w:rsidRPr="000B3CF9">
        <w:rPr>
          <w:rFonts w:ascii="Times New Roman" w:eastAsia="Times New Roman" w:hAnsi="Times New Roman" w:cs="Times New Roman"/>
          <w:lang w:val="en-US"/>
        </w:rPr>
        <w:t>) missense mutation in AMY2B could result in significant steric hindrance. The introduction of the bulky histidine residue at position 243, in place of the smaller proline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g.2), is anticipated to cause clashes with the adjacent residues Gly208 and Phe209, which are located on a neighboring beta-sheet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g.3). Such steric clashes could disrupt the precise packing and folding of the beta-sheet region, potentially destabilizing the overall tertiary structure of the enzyme. Furthermore, the G296R (</w:t>
      </w:r>
      <w:bookmarkStart w:id="7" w:name="_Hlk172122113"/>
      <w:r w:rsidRPr="000B3CF9">
        <w:rPr>
          <w:rFonts w:ascii="Times New Roman" w:eastAsia="Times New Roman" w:hAnsi="Times New Roman" w:cs="Times New Roman"/>
          <w:lang w:val="en-US"/>
        </w:rPr>
        <w:t>rs147215616</w:t>
      </w:r>
      <w:bookmarkEnd w:id="7"/>
      <w:r w:rsidRPr="000B3CF9">
        <w:rPr>
          <w:rFonts w:ascii="Times New Roman" w:eastAsia="Times New Roman" w:hAnsi="Times New Roman" w:cs="Times New Roman"/>
          <w:lang w:val="en-US"/>
        </w:rPr>
        <w:t>) substitution is predicted to engender steric hindrance with His346, Pro347, and Tyr348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g.5). The replacement of the small, non-bulky glycine residue (</w:t>
      </w:r>
      <w:r w:rsidR="008D062A">
        <w:rPr>
          <w:rFonts w:ascii="Times New Roman" w:eastAsia="Times New Roman" w:hAnsi="Times New Roman" w:cs="Times New Roman"/>
          <w:lang w:val="en-US"/>
        </w:rPr>
        <w:t>Figure 8</w:t>
      </w:r>
      <w:r w:rsidRPr="000B3CF9">
        <w:rPr>
          <w:rFonts w:ascii="Times New Roman" w:eastAsia="Times New Roman" w:hAnsi="Times New Roman" w:cs="Times New Roman"/>
          <w:lang w:val="en-US"/>
        </w:rPr>
        <w:t xml:space="preserve">g.4) with the larger, positively charged arginine at position 296 could lead to substantial steric conflicts with the neighboring </w:t>
      </w:r>
      <w:r w:rsidRPr="000B3CF9">
        <w:rPr>
          <w:rFonts w:ascii="Times New Roman" w:eastAsia="Times New Roman" w:hAnsi="Times New Roman" w:cs="Times New Roman"/>
          <w:lang w:val="en-US"/>
        </w:rPr>
        <w:lastRenderedPageBreak/>
        <w:t>residues. These steric perturbations may consequently impact the structural integrity and conformational stability of AMY2B.</w:t>
      </w:r>
    </w:p>
    <w:p w14:paraId="765370FE" w14:textId="77777777" w:rsidR="008D062A" w:rsidRDefault="008D062A" w:rsidP="008D062A">
      <w:pPr>
        <w:spacing w:after="0" w:line="480" w:lineRule="auto"/>
        <w:ind w:firstLine="567"/>
        <w:contextualSpacing/>
        <w:rPr>
          <w:rFonts w:ascii="Times New Roman" w:eastAsia="Times New Roman" w:hAnsi="Times New Roman" w:cs="Times New Roman"/>
          <w:kern w:val="0"/>
          <w:lang w:val="en-US" w:eastAsia="pt-BR"/>
          <w14:ligatures w14:val="none"/>
        </w:rPr>
      </w:pPr>
      <w:r w:rsidRPr="008D062A">
        <w:rPr>
          <w:rFonts w:ascii="Times New Roman" w:eastAsia="Times New Roman" w:hAnsi="Times New Roman" w:cs="Times New Roman"/>
          <w:i/>
          <w:iCs/>
          <w:kern w:val="0"/>
          <w:lang w:val="en-US" w:eastAsia="pt-BR"/>
          <w14:ligatures w14:val="none"/>
        </w:rPr>
        <w:t>ABCA5</w:t>
      </w:r>
      <w:r w:rsidRPr="00D31229">
        <w:rPr>
          <w:rFonts w:ascii="Times New Roman" w:eastAsia="Times New Roman" w:hAnsi="Times New Roman" w:cs="Times New Roman"/>
          <w:kern w:val="0"/>
          <w:lang w:val="en-US" w:eastAsia="pt-BR"/>
          <w14:ligatures w14:val="none"/>
        </w:rPr>
        <w:t xml:space="preserve"> encodes an ATP-binding cassette transporter facilitating cholesterol efflux. The sequence </w:t>
      </w:r>
      <w:proofErr w:type="spellStart"/>
      <w:r w:rsidRPr="00D31229">
        <w:rPr>
          <w:rFonts w:ascii="Times New Roman" w:eastAsia="Times New Roman" w:hAnsi="Times New Roman" w:cs="Times New Roman"/>
          <w:kern w:val="0"/>
          <w:lang w:val="en-US" w:eastAsia="pt-BR"/>
          <w14:ligatures w14:val="none"/>
        </w:rPr>
        <w:t>variantion</w:t>
      </w:r>
      <w:proofErr w:type="spellEnd"/>
      <w:r w:rsidRPr="00D31229">
        <w:rPr>
          <w:rFonts w:ascii="Times New Roman" w:eastAsia="Times New Roman" w:hAnsi="Times New Roman" w:cs="Times New Roman"/>
          <w:kern w:val="0"/>
          <w:lang w:val="en-US" w:eastAsia="pt-BR"/>
          <w14:ligatures w14:val="none"/>
        </w:rPr>
        <w:t xml:space="preserve"> (</w:t>
      </w:r>
      <w:bookmarkStart w:id="8" w:name="_Hlk172121781"/>
      <w:r w:rsidRPr="00D31229">
        <w:rPr>
          <w:rFonts w:ascii="Times New Roman" w:eastAsia="Times New Roman" w:hAnsi="Times New Roman" w:cs="Times New Roman"/>
          <w:kern w:val="0"/>
          <w:lang w:val="en-US" w:eastAsia="pt-BR"/>
          <w14:ligatures w14:val="none"/>
        </w:rPr>
        <w:t xml:space="preserve">no </w:t>
      </w:r>
      <w:proofErr w:type="spellStart"/>
      <w:r w:rsidRPr="00D31229">
        <w:rPr>
          <w:rFonts w:ascii="Times New Roman" w:eastAsia="Times New Roman" w:hAnsi="Times New Roman" w:cs="Times New Roman"/>
          <w:kern w:val="0"/>
          <w:lang w:val="en-US" w:eastAsia="pt-BR"/>
          <w14:ligatures w14:val="none"/>
        </w:rPr>
        <w:t>dbSNP</w:t>
      </w:r>
      <w:proofErr w:type="spellEnd"/>
      <w:r w:rsidRPr="00D31229">
        <w:rPr>
          <w:rFonts w:ascii="Times New Roman" w:eastAsia="Times New Roman" w:hAnsi="Times New Roman" w:cs="Times New Roman"/>
          <w:kern w:val="0"/>
          <w:lang w:val="en-US" w:eastAsia="pt-BR"/>
          <w14:ligatures w14:val="none"/>
        </w:rPr>
        <w:t xml:space="preserve"> Reference ID</w:t>
      </w:r>
      <w:bookmarkEnd w:id="8"/>
      <w:r w:rsidRPr="00D31229">
        <w:rPr>
          <w:rFonts w:ascii="Times New Roman" w:eastAsia="Times New Roman" w:hAnsi="Times New Roman" w:cs="Times New Roman"/>
          <w:kern w:val="0"/>
          <w:lang w:val="en-US" w:eastAsia="pt-BR"/>
          <w14:ligatures w14:val="none"/>
        </w:rPr>
        <w:t xml:space="preserve">) promotes the amino acid change E1327V in the encoded protein. This amino acid is located within the conserved ATP-binding domain (residues 1290-1533) annotated as IPR003439 in the </w:t>
      </w:r>
      <w:proofErr w:type="spellStart"/>
      <w:r w:rsidRPr="00D31229">
        <w:rPr>
          <w:rFonts w:ascii="Times New Roman" w:eastAsia="Times New Roman" w:hAnsi="Times New Roman" w:cs="Times New Roman"/>
          <w:kern w:val="0"/>
          <w:lang w:val="en-US" w:eastAsia="pt-BR"/>
          <w14:ligatures w14:val="none"/>
        </w:rPr>
        <w:t>InterPro</w:t>
      </w:r>
      <w:proofErr w:type="spellEnd"/>
      <w:r w:rsidRPr="00D31229">
        <w:rPr>
          <w:rFonts w:ascii="Times New Roman" w:eastAsia="Times New Roman" w:hAnsi="Times New Roman" w:cs="Times New Roman"/>
          <w:kern w:val="0"/>
          <w:lang w:val="en-US" w:eastAsia="pt-BR"/>
          <w14:ligatures w14:val="none"/>
        </w:rPr>
        <w:t xml:space="preserve"> database (</w:t>
      </w:r>
      <w:r>
        <w:rPr>
          <w:rFonts w:ascii="Times New Roman" w:eastAsia="Times New Roman" w:hAnsi="Times New Roman" w:cs="Times New Roman"/>
          <w:kern w:val="0"/>
          <w:lang w:val="en-US" w:eastAsia="pt-BR"/>
          <w14:ligatures w14:val="none"/>
        </w:rPr>
        <w:t>Figure 9</w:t>
      </w:r>
      <w:r w:rsidRPr="00D31229">
        <w:rPr>
          <w:rFonts w:ascii="Times New Roman" w:eastAsia="Times New Roman" w:hAnsi="Times New Roman" w:cs="Times New Roman"/>
          <w:kern w:val="0"/>
          <w:lang w:val="en-US" w:eastAsia="pt-BR"/>
          <w14:ligatures w14:val="none"/>
        </w:rPr>
        <w:t>a). Structural analysis revealed that Glu1327 forms a crucial salt bridge with Arg1502 and hydrogen bonds with the Lys1324 backbone (</w:t>
      </w:r>
      <w:r>
        <w:rPr>
          <w:rFonts w:ascii="Times New Roman" w:eastAsia="Times New Roman" w:hAnsi="Times New Roman" w:cs="Times New Roman"/>
          <w:kern w:val="0"/>
          <w:lang w:val="en-US" w:eastAsia="pt-BR"/>
          <w14:ligatures w14:val="none"/>
        </w:rPr>
        <w:t>Figure 9</w:t>
      </w:r>
      <w:r w:rsidRPr="00D31229">
        <w:rPr>
          <w:rFonts w:ascii="Times New Roman" w:eastAsia="Times New Roman" w:hAnsi="Times New Roman" w:cs="Times New Roman"/>
          <w:kern w:val="0"/>
          <w:lang w:val="en-US" w:eastAsia="pt-BR"/>
          <w14:ligatures w14:val="none"/>
        </w:rPr>
        <w:t>a.2). Furthermore, Arg1502 engages in a hydrogen bonding network with Glu1271, Lys1274, and Cys1322. Substituting the negatively charged, polar Glu1327 with the nonpolar valine would disrupt this complex network of salt bridges and hydrogen bonds, potentially destabilizing the ATP-binding domain (</w:t>
      </w:r>
      <w:r>
        <w:rPr>
          <w:rFonts w:ascii="Times New Roman" w:eastAsia="Times New Roman" w:hAnsi="Times New Roman" w:cs="Times New Roman"/>
          <w:kern w:val="0"/>
          <w:lang w:val="en-US" w:eastAsia="pt-BR"/>
          <w14:ligatures w14:val="none"/>
        </w:rPr>
        <w:t>Figure 9</w:t>
      </w:r>
      <w:r w:rsidRPr="00D31229">
        <w:rPr>
          <w:rFonts w:ascii="Times New Roman" w:eastAsia="Times New Roman" w:hAnsi="Times New Roman" w:cs="Times New Roman"/>
          <w:kern w:val="0"/>
          <w:lang w:val="en-US" w:eastAsia="pt-BR"/>
          <w14:ligatures w14:val="none"/>
        </w:rPr>
        <w:t>a.3).</w:t>
      </w:r>
    </w:p>
    <w:p w14:paraId="7A22BA1B" w14:textId="77777777" w:rsidR="008D062A" w:rsidRPr="00D31229" w:rsidRDefault="008D062A" w:rsidP="008D062A">
      <w:pPr>
        <w:spacing w:after="0" w:line="480" w:lineRule="auto"/>
        <w:ind w:firstLine="567"/>
        <w:contextualSpacing/>
        <w:rPr>
          <w:rFonts w:ascii="Times New Roman" w:eastAsia="Times New Roman" w:hAnsi="Times New Roman" w:cs="Times New Roman"/>
          <w:lang w:val="en-US"/>
        </w:rPr>
      </w:pPr>
      <w:r w:rsidRPr="00D31229">
        <w:rPr>
          <w:rFonts w:ascii="Times New Roman" w:eastAsia="Times New Roman" w:hAnsi="Times New Roman" w:cs="Times New Roman"/>
          <w:i/>
          <w:iCs/>
          <w:lang w:val="en-US"/>
        </w:rPr>
        <w:t>ABCB4</w:t>
      </w:r>
      <w:r w:rsidRPr="00D31229">
        <w:rPr>
          <w:rFonts w:ascii="Times New Roman" w:eastAsia="Times New Roman" w:hAnsi="Times New Roman" w:cs="Times New Roman"/>
          <w:lang w:val="en-US"/>
        </w:rPr>
        <w:t xml:space="preserve"> encodes a phospholipid transporter associated with cholestatic liver diseases (</w:t>
      </w:r>
      <w:r>
        <w:rPr>
          <w:rFonts w:ascii="Times New Roman" w:eastAsia="Times New Roman" w:hAnsi="Times New Roman" w:cs="Times New Roman"/>
          <w:lang w:val="en-US"/>
        </w:rPr>
        <w:t>Figure 9</w:t>
      </w:r>
      <w:r w:rsidRPr="00D31229">
        <w:rPr>
          <w:rFonts w:ascii="Times New Roman" w:eastAsia="Times New Roman" w:hAnsi="Times New Roman" w:cs="Times New Roman"/>
          <w:lang w:val="en-US"/>
        </w:rPr>
        <w:t>b). The A934T variant (</w:t>
      </w:r>
      <w:bookmarkStart w:id="9" w:name="_Hlk172121807"/>
      <w:r w:rsidRPr="00D31229">
        <w:rPr>
          <w:rFonts w:ascii="Times New Roman" w:eastAsia="Times New Roman" w:hAnsi="Times New Roman" w:cs="Times New Roman"/>
          <w:lang w:val="en-US"/>
        </w:rPr>
        <w:t>rs61730509</w:t>
      </w:r>
      <w:bookmarkEnd w:id="9"/>
      <w:r w:rsidRPr="00D31229">
        <w:rPr>
          <w:rFonts w:ascii="Times New Roman" w:eastAsia="Times New Roman" w:hAnsi="Times New Roman" w:cs="Times New Roman"/>
          <w:lang w:val="en-US"/>
        </w:rPr>
        <w:t xml:space="preserve">) is located within an intermembrane </w:t>
      </w:r>
      <w:r w:rsidRPr="00D31229">
        <w:rPr>
          <w:rFonts w:ascii="Times New Roman" w:eastAsia="Times New Roman" w:hAnsi="Times New Roman" w:cs="Times New Roman"/>
        </w:rPr>
        <w:t>α</w:t>
      </w:r>
      <w:r w:rsidRPr="00D31229">
        <w:rPr>
          <w:rFonts w:ascii="Times New Roman" w:eastAsia="Times New Roman" w:hAnsi="Times New Roman" w:cs="Times New Roman"/>
          <w:lang w:val="en-US"/>
        </w:rPr>
        <w:t>-helical region (</w:t>
      </w:r>
      <w:r>
        <w:rPr>
          <w:rFonts w:ascii="Times New Roman" w:eastAsia="Times New Roman" w:hAnsi="Times New Roman" w:cs="Times New Roman"/>
          <w:lang w:val="en-US"/>
        </w:rPr>
        <w:t>Figure 9</w:t>
      </w:r>
      <w:r w:rsidRPr="00D31229">
        <w:rPr>
          <w:rFonts w:ascii="Times New Roman" w:eastAsia="Times New Roman" w:hAnsi="Times New Roman" w:cs="Times New Roman"/>
          <w:lang w:val="en-US"/>
        </w:rPr>
        <w:t xml:space="preserve">b.1, 8b.2). Structural analysis suggested that the bulkier, polar Thr934 could clash with Ser136 and Leu140 on an adjacent helix, disrupting the precise packing and folding of the intermembrane </w:t>
      </w:r>
      <w:r w:rsidRPr="00D31229">
        <w:rPr>
          <w:rFonts w:ascii="Times New Roman" w:eastAsia="Times New Roman" w:hAnsi="Times New Roman" w:cs="Times New Roman"/>
        </w:rPr>
        <w:t>α</w:t>
      </w:r>
      <w:r w:rsidRPr="00D31229">
        <w:rPr>
          <w:rFonts w:ascii="Times New Roman" w:eastAsia="Times New Roman" w:hAnsi="Times New Roman" w:cs="Times New Roman"/>
          <w:lang w:val="en-US"/>
        </w:rPr>
        <w:t>-helices (</w:t>
      </w:r>
      <w:r>
        <w:rPr>
          <w:rFonts w:ascii="Times New Roman" w:eastAsia="Times New Roman" w:hAnsi="Times New Roman" w:cs="Times New Roman"/>
          <w:lang w:val="en-US"/>
        </w:rPr>
        <w:t>Figure 9</w:t>
      </w:r>
      <w:r w:rsidRPr="00D31229">
        <w:rPr>
          <w:rFonts w:ascii="Times New Roman" w:eastAsia="Times New Roman" w:hAnsi="Times New Roman" w:cs="Times New Roman"/>
          <w:lang w:val="en-US"/>
        </w:rPr>
        <w:t>b.3). This structural perturbation could adversely affect the integrity of the transmembrane domain, impairing ABCB4's function as an ABC transporter.</w:t>
      </w:r>
    </w:p>
    <w:p w14:paraId="214A8523" w14:textId="77777777" w:rsidR="008D062A" w:rsidRPr="00D31229" w:rsidRDefault="008D062A" w:rsidP="008D062A">
      <w:pPr>
        <w:spacing w:after="0" w:line="480" w:lineRule="auto"/>
        <w:ind w:firstLine="567"/>
        <w:rPr>
          <w:rFonts w:ascii="Times New Roman" w:eastAsia="Times New Roman" w:hAnsi="Times New Roman" w:cs="Times New Roman"/>
          <w:lang w:val="en-US"/>
        </w:rPr>
      </w:pPr>
      <w:r w:rsidRPr="00D31229">
        <w:rPr>
          <w:rFonts w:ascii="Times New Roman" w:eastAsia="Times New Roman" w:hAnsi="Times New Roman" w:cs="Times New Roman"/>
          <w:i/>
          <w:iCs/>
          <w:lang w:val="en-US"/>
        </w:rPr>
        <w:t>ADIPOQ</w:t>
      </w:r>
      <w:r w:rsidRPr="00D31229">
        <w:rPr>
          <w:rFonts w:ascii="Times New Roman" w:eastAsia="Times New Roman" w:hAnsi="Times New Roman" w:cs="Times New Roman"/>
          <w:lang w:val="en-US"/>
        </w:rPr>
        <w:t xml:space="preserve"> encodes the adipokine adiponectin, a regulator of lipid and glucose metabolism. The Y225C (</w:t>
      </w:r>
      <w:bookmarkStart w:id="10" w:name="_Hlk172121821"/>
      <w:r w:rsidRPr="00D31229">
        <w:rPr>
          <w:rFonts w:ascii="Times New Roman" w:eastAsia="Times New Roman" w:hAnsi="Times New Roman" w:cs="Times New Roman"/>
          <w:lang w:val="en-US"/>
        </w:rPr>
        <w:t>rs754228738</w:t>
      </w:r>
      <w:bookmarkEnd w:id="10"/>
      <w:r w:rsidRPr="00D31229">
        <w:rPr>
          <w:rFonts w:ascii="Times New Roman" w:eastAsia="Times New Roman" w:hAnsi="Times New Roman" w:cs="Times New Roman"/>
          <w:lang w:val="en-US"/>
        </w:rPr>
        <w:t xml:space="preserve">) variant is located within the globular head domain of the </w:t>
      </w:r>
      <w:proofErr w:type="spellStart"/>
      <w:r w:rsidRPr="00D31229">
        <w:rPr>
          <w:rFonts w:ascii="Times New Roman" w:eastAsia="Times New Roman" w:hAnsi="Times New Roman" w:cs="Times New Roman"/>
          <w:lang w:val="en-US"/>
        </w:rPr>
        <w:t>homotrimeric</w:t>
      </w:r>
      <w:proofErr w:type="spellEnd"/>
      <w:r w:rsidRPr="00D31229">
        <w:rPr>
          <w:rFonts w:ascii="Times New Roman" w:eastAsia="Times New Roman" w:hAnsi="Times New Roman" w:cs="Times New Roman"/>
          <w:lang w:val="en-US"/>
        </w:rPr>
        <w:t xml:space="preserve"> adiponectin structure (PDB ID: 6U66) (</w:t>
      </w:r>
      <w:r>
        <w:rPr>
          <w:rFonts w:ascii="Times New Roman" w:eastAsia="Times New Roman" w:hAnsi="Times New Roman" w:cs="Times New Roman"/>
          <w:lang w:val="en-US"/>
        </w:rPr>
        <w:t>Figure 9</w:t>
      </w:r>
      <w:r w:rsidRPr="00D31229">
        <w:rPr>
          <w:rFonts w:ascii="Times New Roman" w:eastAsia="Times New Roman" w:hAnsi="Times New Roman" w:cs="Times New Roman"/>
          <w:lang w:val="en-US"/>
        </w:rPr>
        <w:t>c). Tyr225 participates in a hydrogen bond network with Asp227, Asn230, and Asp229, which interact with Lys172 of an adjacent monomer (</w:t>
      </w:r>
      <w:r>
        <w:rPr>
          <w:rFonts w:ascii="Times New Roman" w:eastAsia="Times New Roman" w:hAnsi="Times New Roman" w:cs="Times New Roman"/>
          <w:lang w:val="en-US"/>
        </w:rPr>
        <w:t>Figure 9</w:t>
      </w:r>
      <w:r w:rsidRPr="00D31229">
        <w:rPr>
          <w:rFonts w:ascii="Times New Roman" w:eastAsia="Times New Roman" w:hAnsi="Times New Roman" w:cs="Times New Roman"/>
          <w:lang w:val="en-US"/>
        </w:rPr>
        <w:t>c.2). Substituting the bulky, aromatic Tyr225 with the smaller, sulfhydryl-containing cysteine could disrupt this intricate hydrogen bond network, potentially destabilizing the multimeric assembly and perturbing adiponectin's structural integrity (</w:t>
      </w:r>
      <w:r>
        <w:rPr>
          <w:rFonts w:ascii="Times New Roman" w:eastAsia="Times New Roman" w:hAnsi="Times New Roman" w:cs="Times New Roman"/>
          <w:lang w:val="en-US"/>
        </w:rPr>
        <w:t>Figure 9</w:t>
      </w:r>
      <w:r w:rsidRPr="00D31229">
        <w:rPr>
          <w:rFonts w:ascii="Times New Roman" w:eastAsia="Times New Roman" w:hAnsi="Times New Roman" w:cs="Times New Roman"/>
          <w:lang w:val="en-US"/>
        </w:rPr>
        <w:t xml:space="preserve">c.3). The </w:t>
      </w:r>
      <w:bookmarkStart w:id="11" w:name="_Hlk172027469"/>
      <w:r w:rsidRPr="00D31229">
        <w:rPr>
          <w:rFonts w:ascii="Times New Roman" w:eastAsia="Times New Roman" w:hAnsi="Times New Roman" w:cs="Times New Roman"/>
          <w:lang w:val="en-US"/>
        </w:rPr>
        <w:t xml:space="preserve">G90S (rs62625753) substitution in ADIPOQ </w:t>
      </w:r>
      <w:bookmarkEnd w:id="11"/>
      <w:r w:rsidRPr="00D31229">
        <w:rPr>
          <w:rFonts w:ascii="Times New Roman" w:eastAsia="Times New Roman" w:hAnsi="Times New Roman" w:cs="Times New Roman"/>
          <w:lang w:val="en-US"/>
        </w:rPr>
        <w:t xml:space="preserve">is not resolved in the available crystal structure, as the mutation site is situated within an extensive disordered loop region according to the AlphaFold computational model. Nevertheless, this natural variant, designated </w:t>
      </w:r>
      <w:r w:rsidRPr="00D31229">
        <w:rPr>
          <w:rFonts w:ascii="Times New Roman" w:eastAsia="Times New Roman" w:hAnsi="Times New Roman" w:cs="Times New Roman"/>
          <w:lang w:val="en-US"/>
        </w:rPr>
        <w:lastRenderedPageBreak/>
        <w:t>VAR_027395, has been previously associated with defective formation of high molecular weight adiponectin multimers, which are critical for the biological activities of adiponectin.</w:t>
      </w:r>
    </w:p>
    <w:p w14:paraId="42E255C6" w14:textId="77777777" w:rsidR="008D062A" w:rsidRPr="00D31229" w:rsidRDefault="008D062A" w:rsidP="008D062A">
      <w:pPr>
        <w:spacing w:after="0" w:line="480" w:lineRule="auto"/>
        <w:ind w:firstLine="567"/>
        <w:rPr>
          <w:rFonts w:ascii="Times New Roman" w:eastAsia="Times New Roman" w:hAnsi="Times New Roman" w:cs="Times New Roman"/>
          <w:lang w:val="en-US"/>
        </w:rPr>
      </w:pPr>
      <w:r w:rsidRPr="00D31229">
        <w:rPr>
          <w:rFonts w:ascii="Times New Roman" w:eastAsia="Times New Roman" w:hAnsi="Times New Roman" w:cs="Times New Roman"/>
          <w:lang w:val="en-US"/>
        </w:rPr>
        <w:t>APOE (Apolipoprotein E) plays a pivotal role in cholesterol homeostasis. The R163C (</w:t>
      </w:r>
      <w:bookmarkStart w:id="12" w:name="_Hlk172121842"/>
      <w:r w:rsidRPr="00D31229">
        <w:rPr>
          <w:rFonts w:ascii="Times New Roman" w:eastAsia="Times New Roman" w:hAnsi="Times New Roman" w:cs="Times New Roman"/>
          <w:lang w:val="en-US"/>
        </w:rPr>
        <w:t>rs769455</w:t>
      </w:r>
      <w:bookmarkEnd w:id="12"/>
      <w:r w:rsidRPr="00D31229">
        <w:rPr>
          <w:rFonts w:ascii="Times New Roman" w:eastAsia="Times New Roman" w:hAnsi="Times New Roman" w:cs="Times New Roman"/>
          <w:lang w:val="en-US"/>
        </w:rPr>
        <w:t xml:space="preserve">) variant is predicted to disrupt a hydrogen bond with Gln59, as Arg163 and Gln59 are situated on adjacent </w:t>
      </w:r>
      <w:r w:rsidRPr="00D31229">
        <w:rPr>
          <w:rFonts w:ascii="Times New Roman" w:eastAsia="Times New Roman" w:hAnsi="Times New Roman" w:cs="Times New Roman"/>
        </w:rPr>
        <w:t>α</w:t>
      </w:r>
      <w:r w:rsidRPr="00D31229">
        <w:rPr>
          <w:rFonts w:ascii="Times New Roman" w:eastAsia="Times New Roman" w:hAnsi="Times New Roman" w:cs="Times New Roman"/>
          <w:lang w:val="en-US"/>
        </w:rPr>
        <w:t>-helices (</w:t>
      </w:r>
      <w:r>
        <w:rPr>
          <w:rFonts w:ascii="Times New Roman" w:eastAsia="Times New Roman" w:hAnsi="Times New Roman" w:cs="Times New Roman"/>
          <w:lang w:val="en-US"/>
        </w:rPr>
        <w:t>Figure 9</w:t>
      </w:r>
      <w:r w:rsidRPr="00D31229">
        <w:rPr>
          <w:rFonts w:ascii="Times New Roman" w:eastAsia="Times New Roman" w:hAnsi="Times New Roman" w:cs="Times New Roman"/>
          <w:lang w:val="en-US"/>
        </w:rPr>
        <w:t>d). Notably, Arg163 is part of a critical heparin-binding site (residues 162-165). Introducing the smaller, uncharged Cys163 could alter APOE's heparin-binding affinity and specificity. Disrupting the hydrogen bond with Gln59 and potential impact on heparin binding could lead to structural destabilization and impaired functionality of APOE.</w:t>
      </w:r>
    </w:p>
    <w:p w14:paraId="00016067" w14:textId="77777777" w:rsidR="008D062A" w:rsidRDefault="008D062A" w:rsidP="008D062A">
      <w:pPr>
        <w:spacing w:after="0" w:line="480" w:lineRule="auto"/>
        <w:ind w:firstLine="567"/>
        <w:rPr>
          <w:rFonts w:ascii="Times New Roman" w:eastAsia="Times New Roman" w:hAnsi="Times New Roman" w:cs="Times New Roman"/>
          <w:lang w:val="en-US"/>
        </w:rPr>
      </w:pPr>
      <w:r w:rsidRPr="008D062A">
        <w:rPr>
          <w:rFonts w:ascii="Times New Roman" w:eastAsia="Times New Roman" w:hAnsi="Times New Roman" w:cs="Times New Roman"/>
          <w:i/>
          <w:iCs/>
          <w:lang w:val="en-US"/>
        </w:rPr>
        <w:t>CFTR</w:t>
      </w:r>
      <w:r w:rsidRPr="00D31229">
        <w:rPr>
          <w:rFonts w:ascii="Times New Roman" w:eastAsia="Times New Roman" w:hAnsi="Times New Roman" w:cs="Times New Roman"/>
          <w:lang w:val="en-US"/>
        </w:rPr>
        <w:t xml:space="preserve"> encodes a chloride channel implicated in cystic fibrosis pathogenesis and cholesterol trafficking. Structural examination revealed that the Arg1162 residue forms hydrogen bonds with Asp979 and Glu1046 on adjacent </w:t>
      </w:r>
      <w:r w:rsidRPr="00D31229">
        <w:rPr>
          <w:rFonts w:ascii="Times New Roman" w:eastAsia="Times New Roman" w:hAnsi="Times New Roman" w:cs="Times New Roman"/>
        </w:rPr>
        <w:t>α</w:t>
      </w:r>
      <w:r w:rsidRPr="00D31229">
        <w:rPr>
          <w:rFonts w:ascii="Times New Roman" w:eastAsia="Times New Roman" w:hAnsi="Times New Roman" w:cs="Times New Roman"/>
          <w:lang w:val="en-US"/>
        </w:rPr>
        <w:t>-helices. Moreover, Asp1046 participates in a hydrogen bonding network involving Ser1049, which connects to Asn974 and Arg1048 (</w:t>
      </w:r>
      <w:r>
        <w:rPr>
          <w:rFonts w:ascii="Times New Roman" w:eastAsia="Times New Roman" w:hAnsi="Times New Roman" w:cs="Times New Roman"/>
          <w:lang w:val="en-US"/>
        </w:rPr>
        <w:t>Figure 9</w:t>
      </w:r>
      <w:r w:rsidRPr="00D31229">
        <w:rPr>
          <w:rFonts w:ascii="Times New Roman" w:eastAsia="Times New Roman" w:hAnsi="Times New Roman" w:cs="Times New Roman"/>
          <w:lang w:val="en-US"/>
        </w:rPr>
        <w:t>e.2). The substitution of the positively charged Arg1162 with the nonpolar leucine (</w:t>
      </w:r>
      <w:bookmarkStart w:id="13" w:name="_Hlk172121886"/>
      <w:r w:rsidRPr="00D31229">
        <w:rPr>
          <w:rFonts w:ascii="Times New Roman" w:eastAsia="Times New Roman" w:hAnsi="Times New Roman" w:cs="Times New Roman"/>
          <w:lang w:val="en-US"/>
        </w:rPr>
        <w:t>rs1800120</w:t>
      </w:r>
      <w:bookmarkEnd w:id="13"/>
      <w:r w:rsidRPr="00D31229">
        <w:rPr>
          <w:rFonts w:ascii="Times New Roman" w:eastAsia="Times New Roman" w:hAnsi="Times New Roman" w:cs="Times New Roman"/>
          <w:lang w:val="en-US"/>
        </w:rPr>
        <w:t>) would disrupt these critical hydrogen bonds with Asp979 and Glu1046, potentially destabilizing and impairing CFTR function (</w:t>
      </w:r>
      <w:r>
        <w:rPr>
          <w:rFonts w:ascii="Times New Roman" w:eastAsia="Times New Roman" w:hAnsi="Times New Roman" w:cs="Times New Roman"/>
          <w:lang w:val="en-US"/>
        </w:rPr>
        <w:t>Figure 9</w:t>
      </w:r>
      <w:r w:rsidRPr="00D31229">
        <w:rPr>
          <w:rFonts w:ascii="Times New Roman" w:eastAsia="Times New Roman" w:hAnsi="Times New Roman" w:cs="Times New Roman"/>
          <w:lang w:val="en-US"/>
        </w:rPr>
        <w:t>e.3). The L206W (</w:t>
      </w:r>
      <w:bookmarkStart w:id="14" w:name="_Hlk172121913"/>
      <w:r w:rsidRPr="00D31229">
        <w:rPr>
          <w:rFonts w:ascii="Times New Roman" w:eastAsia="Times New Roman" w:hAnsi="Times New Roman" w:cs="Times New Roman"/>
          <w:lang w:val="en-US"/>
        </w:rPr>
        <w:t>rs121908752</w:t>
      </w:r>
      <w:bookmarkEnd w:id="14"/>
      <w:r w:rsidRPr="00D31229">
        <w:rPr>
          <w:rFonts w:ascii="Times New Roman" w:eastAsia="Times New Roman" w:hAnsi="Times New Roman" w:cs="Times New Roman"/>
          <w:lang w:val="en-US"/>
        </w:rPr>
        <w:t>) variant is situated within the transmembrane region of CFTR, facing the solvent-exposed region near a cholesterol molecule (CLR) observed in the electron microscopy structure (PDB ID: 8EIO) (</w:t>
      </w:r>
      <w:r>
        <w:rPr>
          <w:rFonts w:ascii="Times New Roman" w:eastAsia="Times New Roman" w:hAnsi="Times New Roman" w:cs="Times New Roman"/>
          <w:lang w:val="en-US"/>
        </w:rPr>
        <w:t>Figure 9</w:t>
      </w:r>
      <w:r w:rsidRPr="00D31229">
        <w:rPr>
          <w:rFonts w:ascii="Times New Roman" w:eastAsia="Times New Roman" w:hAnsi="Times New Roman" w:cs="Times New Roman"/>
          <w:lang w:val="en-US"/>
        </w:rPr>
        <w:t>e.4). The introduction of the bulky, aromatic tryptophan residue in place of the smaller, aliphatic leucine could significantly influence protein-solvent interactions, disrupt membrane integrity, and modulate the dynamics of protein-membrane associations (</w:t>
      </w:r>
      <w:r>
        <w:rPr>
          <w:rFonts w:ascii="Times New Roman" w:eastAsia="Times New Roman" w:hAnsi="Times New Roman" w:cs="Times New Roman"/>
          <w:lang w:val="en-US"/>
        </w:rPr>
        <w:t>Figure 9</w:t>
      </w:r>
      <w:r w:rsidRPr="00D31229">
        <w:rPr>
          <w:rFonts w:ascii="Times New Roman" w:eastAsia="Times New Roman" w:hAnsi="Times New Roman" w:cs="Times New Roman"/>
          <w:lang w:val="en-US"/>
        </w:rPr>
        <w:t>e.5). These structural perturbations may consequently alter the cellular localization and function of CFTR, potentially impacting its role in cholesterol trafficking processes. The I285F (</w:t>
      </w:r>
      <w:bookmarkStart w:id="15" w:name="_Hlk172121903"/>
      <w:r w:rsidRPr="00D31229">
        <w:rPr>
          <w:rFonts w:ascii="Times New Roman" w:eastAsia="Times New Roman" w:hAnsi="Times New Roman" w:cs="Times New Roman"/>
          <w:lang w:val="en-US"/>
        </w:rPr>
        <w:t>rs151073129</w:t>
      </w:r>
      <w:bookmarkEnd w:id="15"/>
      <w:r w:rsidRPr="00D31229">
        <w:rPr>
          <w:rFonts w:ascii="Times New Roman" w:eastAsia="Times New Roman" w:hAnsi="Times New Roman" w:cs="Times New Roman"/>
          <w:lang w:val="en-US"/>
        </w:rPr>
        <w:t xml:space="preserve">) mutation occurs within an </w:t>
      </w:r>
      <w:r w:rsidRPr="00D31229">
        <w:rPr>
          <w:rFonts w:ascii="Times New Roman" w:eastAsia="Times New Roman" w:hAnsi="Times New Roman" w:cs="Times New Roman"/>
        </w:rPr>
        <w:t>α</w:t>
      </w:r>
      <w:r w:rsidRPr="00D31229">
        <w:rPr>
          <w:rFonts w:ascii="Times New Roman" w:eastAsia="Times New Roman" w:hAnsi="Times New Roman" w:cs="Times New Roman"/>
          <w:lang w:val="en-US"/>
        </w:rPr>
        <w:t>-helix of CFTR (</w:t>
      </w:r>
      <w:r>
        <w:rPr>
          <w:rFonts w:ascii="Times New Roman" w:eastAsia="Times New Roman" w:hAnsi="Times New Roman" w:cs="Times New Roman"/>
          <w:lang w:val="en-US"/>
        </w:rPr>
        <w:t>Figure 9</w:t>
      </w:r>
      <w:r w:rsidRPr="00D31229">
        <w:rPr>
          <w:rFonts w:ascii="Times New Roman" w:eastAsia="Times New Roman" w:hAnsi="Times New Roman" w:cs="Times New Roman"/>
          <w:lang w:val="en-US"/>
        </w:rPr>
        <w:t>e.6). Substituting the smaller isoleucine with the larger, aromatic phenylalanine results in increased steric bulk, potentially clashing with Thr262 on an adjacent helix (</w:t>
      </w:r>
      <w:r>
        <w:rPr>
          <w:rFonts w:ascii="Times New Roman" w:eastAsia="Times New Roman" w:hAnsi="Times New Roman" w:cs="Times New Roman"/>
          <w:lang w:val="en-US"/>
        </w:rPr>
        <w:t>Figure 9</w:t>
      </w:r>
      <w:r w:rsidRPr="00D31229">
        <w:rPr>
          <w:rFonts w:ascii="Times New Roman" w:eastAsia="Times New Roman" w:hAnsi="Times New Roman" w:cs="Times New Roman"/>
          <w:lang w:val="en-US"/>
        </w:rPr>
        <w:t>e.7). Such steric hindrance can disrupt the structural integrity and stability of the adjacent helix, affecting CFTR's overall tertiary structure and potentially perturbing interactions with essential biomolecules.</w:t>
      </w:r>
    </w:p>
    <w:p w14:paraId="6922C7AF" w14:textId="77777777" w:rsidR="008D062A" w:rsidRPr="00286F1E" w:rsidRDefault="008D062A" w:rsidP="00813065">
      <w:pPr>
        <w:spacing w:after="0" w:line="480" w:lineRule="auto"/>
        <w:ind w:firstLine="567"/>
        <w:rPr>
          <w:rFonts w:ascii="Times New Roman" w:eastAsia="Times New Roman" w:hAnsi="Times New Roman" w:cs="Times New Roman"/>
          <w:lang w:val="en-US"/>
        </w:rPr>
      </w:pPr>
    </w:p>
    <w:sectPr w:rsidR="008D062A" w:rsidRPr="00286F1E">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81A3F2" w14:textId="77777777" w:rsidR="00F0751D" w:rsidRDefault="00F0751D" w:rsidP="00816063">
      <w:pPr>
        <w:spacing w:after="0" w:line="240" w:lineRule="auto"/>
      </w:pPr>
      <w:r>
        <w:separator/>
      </w:r>
    </w:p>
  </w:endnote>
  <w:endnote w:type="continuationSeparator" w:id="0">
    <w:p w14:paraId="4DC5D4ED" w14:textId="77777777" w:rsidR="00F0751D" w:rsidRDefault="00F0751D" w:rsidP="008160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03466455"/>
      <w:docPartObj>
        <w:docPartGallery w:val="Page Numbers (Bottom of Page)"/>
        <w:docPartUnique/>
      </w:docPartObj>
    </w:sdtPr>
    <w:sdtContent>
      <w:p w14:paraId="292685A1" w14:textId="6A95DAEA" w:rsidR="00816063" w:rsidRDefault="00816063">
        <w:pPr>
          <w:pStyle w:val="Rodap"/>
          <w:jc w:val="right"/>
        </w:pPr>
        <w:r>
          <w:fldChar w:fldCharType="begin"/>
        </w:r>
        <w:r>
          <w:instrText>PAGE   \* MERGEFORMAT</w:instrText>
        </w:r>
        <w:r>
          <w:fldChar w:fldCharType="separate"/>
        </w:r>
        <w:r>
          <w:t>2</w:t>
        </w:r>
        <w:r>
          <w:fldChar w:fldCharType="end"/>
        </w:r>
      </w:p>
    </w:sdtContent>
  </w:sdt>
  <w:p w14:paraId="76B55B42" w14:textId="77777777" w:rsidR="00816063" w:rsidRDefault="0081606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F5FD6D" w14:textId="77777777" w:rsidR="00F0751D" w:rsidRDefault="00F0751D" w:rsidP="00816063">
      <w:pPr>
        <w:spacing w:after="0" w:line="240" w:lineRule="auto"/>
      </w:pPr>
      <w:r>
        <w:separator/>
      </w:r>
    </w:p>
  </w:footnote>
  <w:footnote w:type="continuationSeparator" w:id="0">
    <w:p w14:paraId="3EA15DBE" w14:textId="77777777" w:rsidR="00F0751D" w:rsidRDefault="00F0751D" w:rsidP="008160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BE8A91" w14:textId="77777777" w:rsidR="00816063" w:rsidRDefault="00816063">
    <w:pPr>
      <w:pStyle w:val="Cabealho"/>
    </w:pPr>
  </w:p>
  <w:p w14:paraId="698FD731" w14:textId="77777777" w:rsidR="00816063" w:rsidRDefault="00816063">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CF0"/>
    <w:rsid w:val="000B3CF9"/>
    <w:rsid w:val="00101FE6"/>
    <w:rsid w:val="001B50C0"/>
    <w:rsid w:val="002411FA"/>
    <w:rsid w:val="00247588"/>
    <w:rsid w:val="00277C78"/>
    <w:rsid w:val="00286F1E"/>
    <w:rsid w:val="00355D9B"/>
    <w:rsid w:val="003B4377"/>
    <w:rsid w:val="0040508C"/>
    <w:rsid w:val="004E4310"/>
    <w:rsid w:val="00561EA5"/>
    <w:rsid w:val="006335D9"/>
    <w:rsid w:val="00724DE4"/>
    <w:rsid w:val="00741ED7"/>
    <w:rsid w:val="00782200"/>
    <w:rsid w:val="00806373"/>
    <w:rsid w:val="00813065"/>
    <w:rsid w:val="00816063"/>
    <w:rsid w:val="00834FCC"/>
    <w:rsid w:val="008D062A"/>
    <w:rsid w:val="008F0050"/>
    <w:rsid w:val="009A26E9"/>
    <w:rsid w:val="009E4021"/>
    <w:rsid w:val="00A85944"/>
    <w:rsid w:val="00AB7C28"/>
    <w:rsid w:val="00B328D4"/>
    <w:rsid w:val="00BF1DDB"/>
    <w:rsid w:val="00C67F20"/>
    <w:rsid w:val="00D26EB7"/>
    <w:rsid w:val="00D31229"/>
    <w:rsid w:val="00DD129F"/>
    <w:rsid w:val="00E55CF0"/>
    <w:rsid w:val="00F0751D"/>
    <w:rsid w:val="00FE622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2F6EE"/>
  <w15:chartTrackingRefBased/>
  <w15:docId w15:val="{C1AABE4C-F61C-46D5-8EF9-C21CD8D34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E55C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E55C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E55CF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E55CF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E55CF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E55CF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E55CF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E55CF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E55CF0"/>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E55CF0"/>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E55CF0"/>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E55CF0"/>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E55CF0"/>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E55CF0"/>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E55CF0"/>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E55CF0"/>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E55CF0"/>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E55CF0"/>
    <w:rPr>
      <w:rFonts w:eastAsiaTheme="majorEastAsia" w:cstheme="majorBidi"/>
      <w:color w:val="272727" w:themeColor="text1" w:themeTint="D8"/>
    </w:rPr>
  </w:style>
  <w:style w:type="paragraph" w:styleId="Ttulo">
    <w:name w:val="Title"/>
    <w:basedOn w:val="Normal"/>
    <w:next w:val="Normal"/>
    <w:link w:val="TtuloChar"/>
    <w:uiPriority w:val="10"/>
    <w:qFormat/>
    <w:rsid w:val="00E55C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E55CF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E55CF0"/>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E55CF0"/>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E55CF0"/>
    <w:pPr>
      <w:spacing w:before="160"/>
      <w:jc w:val="center"/>
    </w:pPr>
    <w:rPr>
      <w:i/>
      <w:iCs/>
      <w:color w:val="404040" w:themeColor="text1" w:themeTint="BF"/>
    </w:rPr>
  </w:style>
  <w:style w:type="character" w:customStyle="1" w:styleId="CitaoChar">
    <w:name w:val="Citação Char"/>
    <w:basedOn w:val="Fontepargpadro"/>
    <w:link w:val="Citao"/>
    <w:uiPriority w:val="29"/>
    <w:rsid w:val="00E55CF0"/>
    <w:rPr>
      <w:i/>
      <w:iCs/>
      <w:color w:val="404040" w:themeColor="text1" w:themeTint="BF"/>
    </w:rPr>
  </w:style>
  <w:style w:type="paragraph" w:styleId="PargrafodaLista">
    <w:name w:val="List Paragraph"/>
    <w:basedOn w:val="Normal"/>
    <w:uiPriority w:val="34"/>
    <w:qFormat/>
    <w:rsid w:val="00E55CF0"/>
    <w:pPr>
      <w:ind w:left="720"/>
      <w:contextualSpacing/>
    </w:pPr>
  </w:style>
  <w:style w:type="character" w:styleId="nfaseIntensa">
    <w:name w:val="Intense Emphasis"/>
    <w:basedOn w:val="Fontepargpadro"/>
    <w:uiPriority w:val="21"/>
    <w:qFormat/>
    <w:rsid w:val="00E55CF0"/>
    <w:rPr>
      <w:i/>
      <w:iCs/>
      <w:color w:val="0F4761" w:themeColor="accent1" w:themeShade="BF"/>
    </w:rPr>
  </w:style>
  <w:style w:type="paragraph" w:styleId="CitaoIntensa">
    <w:name w:val="Intense Quote"/>
    <w:basedOn w:val="Normal"/>
    <w:next w:val="Normal"/>
    <w:link w:val="CitaoIntensaChar"/>
    <w:uiPriority w:val="30"/>
    <w:qFormat/>
    <w:rsid w:val="00E55C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E55CF0"/>
    <w:rPr>
      <w:i/>
      <w:iCs/>
      <w:color w:val="0F4761" w:themeColor="accent1" w:themeShade="BF"/>
    </w:rPr>
  </w:style>
  <w:style w:type="character" w:styleId="RefernciaIntensa">
    <w:name w:val="Intense Reference"/>
    <w:basedOn w:val="Fontepargpadro"/>
    <w:uiPriority w:val="32"/>
    <w:qFormat/>
    <w:rsid w:val="00E55CF0"/>
    <w:rPr>
      <w:b/>
      <w:bCs/>
      <w:smallCaps/>
      <w:color w:val="0F4761" w:themeColor="accent1" w:themeShade="BF"/>
      <w:spacing w:val="5"/>
    </w:rPr>
  </w:style>
  <w:style w:type="character" w:styleId="Hyperlink">
    <w:name w:val="Hyperlink"/>
    <w:basedOn w:val="Fontepargpadro"/>
    <w:uiPriority w:val="99"/>
    <w:semiHidden/>
    <w:unhideWhenUsed/>
    <w:rsid w:val="00E55CF0"/>
    <w:rPr>
      <w:color w:val="0000FF"/>
      <w:u w:val="single"/>
    </w:rPr>
  </w:style>
  <w:style w:type="paragraph" w:styleId="Cabealho">
    <w:name w:val="header"/>
    <w:basedOn w:val="Normal"/>
    <w:link w:val="CabealhoChar"/>
    <w:uiPriority w:val="99"/>
    <w:unhideWhenUsed/>
    <w:rsid w:val="0081606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16063"/>
  </w:style>
  <w:style w:type="paragraph" w:styleId="Rodap">
    <w:name w:val="footer"/>
    <w:basedOn w:val="Normal"/>
    <w:link w:val="RodapChar"/>
    <w:uiPriority w:val="99"/>
    <w:unhideWhenUsed/>
    <w:rsid w:val="00816063"/>
    <w:pPr>
      <w:tabs>
        <w:tab w:val="center" w:pos="4252"/>
        <w:tab w:val="right" w:pos="8504"/>
      </w:tabs>
      <w:spacing w:after="0" w:line="240" w:lineRule="auto"/>
    </w:pPr>
  </w:style>
  <w:style w:type="character" w:customStyle="1" w:styleId="RodapChar">
    <w:name w:val="Rodapé Char"/>
    <w:basedOn w:val="Fontepargpadro"/>
    <w:link w:val="Rodap"/>
    <w:uiPriority w:val="99"/>
    <w:rsid w:val="008160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3808379">
      <w:bodyDiv w:val="1"/>
      <w:marLeft w:val="0"/>
      <w:marRight w:val="0"/>
      <w:marTop w:val="0"/>
      <w:marBottom w:val="0"/>
      <w:divBdr>
        <w:top w:val="none" w:sz="0" w:space="0" w:color="auto"/>
        <w:left w:val="none" w:sz="0" w:space="0" w:color="auto"/>
        <w:bottom w:val="none" w:sz="0" w:space="0" w:color="auto"/>
        <w:right w:val="none" w:sz="0" w:space="0" w:color="auto"/>
      </w:divBdr>
      <w:divsChild>
        <w:div w:id="1484463288">
          <w:marLeft w:val="0"/>
          <w:marRight w:val="0"/>
          <w:marTop w:val="0"/>
          <w:marBottom w:val="0"/>
          <w:divBdr>
            <w:top w:val="none" w:sz="0" w:space="0" w:color="auto"/>
            <w:left w:val="none" w:sz="0" w:space="0" w:color="auto"/>
            <w:bottom w:val="none" w:sz="0" w:space="0" w:color="auto"/>
            <w:right w:val="none" w:sz="0" w:space="0" w:color="auto"/>
          </w:divBdr>
          <w:divsChild>
            <w:div w:id="791099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312641">
      <w:bodyDiv w:val="1"/>
      <w:marLeft w:val="0"/>
      <w:marRight w:val="0"/>
      <w:marTop w:val="0"/>
      <w:marBottom w:val="0"/>
      <w:divBdr>
        <w:top w:val="none" w:sz="0" w:space="0" w:color="auto"/>
        <w:left w:val="none" w:sz="0" w:space="0" w:color="auto"/>
        <w:bottom w:val="none" w:sz="0" w:space="0" w:color="auto"/>
        <w:right w:val="none" w:sz="0" w:space="0" w:color="auto"/>
      </w:divBdr>
      <w:divsChild>
        <w:div w:id="186910214">
          <w:marLeft w:val="0"/>
          <w:marRight w:val="0"/>
          <w:marTop w:val="0"/>
          <w:marBottom w:val="0"/>
          <w:divBdr>
            <w:top w:val="none" w:sz="0" w:space="0" w:color="auto"/>
            <w:left w:val="none" w:sz="0" w:space="0" w:color="auto"/>
            <w:bottom w:val="none" w:sz="0" w:space="0" w:color="auto"/>
            <w:right w:val="none" w:sz="0" w:space="0" w:color="auto"/>
          </w:divBdr>
          <w:divsChild>
            <w:div w:id="1111634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914630">
      <w:bodyDiv w:val="1"/>
      <w:marLeft w:val="0"/>
      <w:marRight w:val="0"/>
      <w:marTop w:val="0"/>
      <w:marBottom w:val="0"/>
      <w:divBdr>
        <w:top w:val="none" w:sz="0" w:space="0" w:color="auto"/>
        <w:left w:val="none" w:sz="0" w:space="0" w:color="auto"/>
        <w:bottom w:val="none" w:sz="0" w:space="0" w:color="auto"/>
        <w:right w:val="none" w:sz="0" w:space="0" w:color="auto"/>
      </w:divBdr>
    </w:div>
    <w:div w:id="1708985358">
      <w:bodyDiv w:val="1"/>
      <w:marLeft w:val="0"/>
      <w:marRight w:val="0"/>
      <w:marTop w:val="0"/>
      <w:marBottom w:val="0"/>
      <w:divBdr>
        <w:top w:val="none" w:sz="0" w:space="0" w:color="auto"/>
        <w:left w:val="none" w:sz="0" w:space="0" w:color="auto"/>
        <w:bottom w:val="none" w:sz="0" w:space="0" w:color="auto"/>
        <w:right w:val="none" w:sz="0" w:space="0" w:color="auto"/>
      </w:divBdr>
      <w:divsChild>
        <w:div w:id="14385994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2005</Words>
  <Characters>10827</Characters>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dcterms:created xsi:type="dcterms:W3CDTF">2024-07-03T15:36:00Z</dcterms:created>
  <dcterms:modified xsi:type="dcterms:W3CDTF">2024-08-15T19:38:00Z</dcterms:modified>
</cp:coreProperties>
</file>