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D3D302" w14:textId="3655782B" w:rsidR="00046142" w:rsidRDefault="00046142" w:rsidP="00046142">
      <w:pPr>
        <w:spacing w:after="0" w:line="480" w:lineRule="auto"/>
        <w:rPr>
          <w:rFonts w:ascii="Arial" w:hAnsi="Arial" w:cs="Arial"/>
        </w:rPr>
      </w:pPr>
      <w:r>
        <w:rPr>
          <w:rFonts w:ascii="Arial" w:hAnsi="Arial" w:cs="Arial"/>
          <w:b/>
          <w:bCs/>
          <w:noProof/>
        </w:rPr>
        <w:drawing>
          <wp:inline distT="0" distB="0" distL="0" distR="0" wp14:anchorId="2230A913" wp14:editId="272D5AF3">
            <wp:extent cx="5943600" cy="3610610"/>
            <wp:effectExtent l="0" t="0" r="0" b="8890"/>
            <wp:docPr id="15225214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3610610"/>
                    </a:xfrm>
                    <a:prstGeom prst="rect">
                      <a:avLst/>
                    </a:prstGeom>
                    <a:noFill/>
                    <a:ln>
                      <a:noFill/>
                    </a:ln>
                  </pic:spPr>
                </pic:pic>
              </a:graphicData>
            </a:graphic>
          </wp:inline>
        </w:drawing>
      </w:r>
      <w:r>
        <w:rPr>
          <w:rFonts w:ascii="Arial" w:hAnsi="Arial" w:cs="Arial"/>
          <w:b/>
          <w:bCs/>
        </w:rPr>
        <w:t xml:space="preserve">Extended Data </w:t>
      </w:r>
      <w:r w:rsidRPr="00480B9A">
        <w:rPr>
          <w:rFonts w:ascii="Arial" w:hAnsi="Arial" w:cs="Arial"/>
          <w:b/>
          <w:bCs/>
        </w:rPr>
        <w:t xml:space="preserve">Figure </w:t>
      </w:r>
      <w:r>
        <w:rPr>
          <w:rFonts w:ascii="Arial" w:hAnsi="Arial" w:cs="Arial"/>
          <w:b/>
          <w:bCs/>
        </w:rPr>
        <w:t>1</w:t>
      </w:r>
      <w:r w:rsidRPr="00480B9A">
        <w:rPr>
          <w:rFonts w:ascii="Arial" w:hAnsi="Arial" w:cs="Arial"/>
          <w:b/>
          <w:bCs/>
        </w:rPr>
        <w:t xml:space="preserve">. </w:t>
      </w:r>
      <w:r>
        <w:rPr>
          <w:rFonts w:ascii="Arial" w:hAnsi="Arial" w:cs="Arial"/>
          <w:b/>
          <w:bCs/>
        </w:rPr>
        <w:t xml:space="preserve"> CD4 T cell susceptibility and resistance to NK-cell suppression appear</w:t>
      </w:r>
      <w:r w:rsidRPr="00480B9A">
        <w:rPr>
          <w:rFonts w:ascii="Arial" w:hAnsi="Arial" w:cs="Arial"/>
          <w:b/>
          <w:bCs/>
        </w:rPr>
        <w:t>s</w:t>
      </w:r>
      <w:r>
        <w:rPr>
          <w:rFonts w:ascii="Arial" w:hAnsi="Arial" w:cs="Arial"/>
          <w:b/>
          <w:bCs/>
        </w:rPr>
        <w:t xml:space="preserve"> independent of known NK-cell receptor systems</w:t>
      </w:r>
      <w:r w:rsidRPr="00480B9A">
        <w:rPr>
          <w:rFonts w:ascii="Arial" w:hAnsi="Arial" w:cs="Arial"/>
          <w:b/>
          <w:bCs/>
        </w:rPr>
        <w:t>.</w:t>
      </w:r>
      <w:r w:rsidRPr="00480B9A">
        <w:rPr>
          <w:rFonts w:ascii="Arial" w:hAnsi="Arial" w:cs="Arial"/>
        </w:rPr>
        <w:t xml:space="preserve"> </w:t>
      </w:r>
      <w:r>
        <w:rPr>
          <w:rFonts w:ascii="Arial" w:hAnsi="Arial" w:cs="Arial"/>
        </w:rPr>
        <w:t xml:space="preserve">A) Gating strategy for sorting SMARTA. </w:t>
      </w:r>
      <w:r w:rsidRPr="00480B9A">
        <w:rPr>
          <w:rFonts w:ascii="Arial" w:hAnsi="Arial" w:cs="Arial"/>
        </w:rPr>
        <w:t xml:space="preserve">Clusters collapsed via pseudobulking and analyzed via </w:t>
      </w:r>
      <w:r w:rsidRPr="008F75CD">
        <w:rPr>
          <w:rFonts w:ascii="Arial" w:hAnsi="Arial" w:cs="Arial"/>
        </w:rPr>
        <w:t xml:space="preserve">DESeq2 </w:t>
      </w:r>
      <w:r>
        <w:rPr>
          <w:rFonts w:ascii="Arial" w:hAnsi="Arial" w:cs="Arial"/>
        </w:rPr>
        <w:t>B</w:t>
      </w:r>
      <w:r w:rsidRPr="008F75CD">
        <w:rPr>
          <w:rFonts w:ascii="Arial" w:hAnsi="Arial" w:cs="Arial"/>
        </w:rPr>
        <w:t xml:space="preserve">) Heatmap of traditional NK cell receptor ligands. </w:t>
      </w:r>
      <w:r>
        <w:rPr>
          <w:rFonts w:ascii="Arial" w:hAnsi="Arial" w:cs="Arial"/>
        </w:rPr>
        <w:t>C</w:t>
      </w:r>
      <w:r w:rsidRPr="008F75CD">
        <w:rPr>
          <w:rFonts w:ascii="Arial" w:hAnsi="Arial" w:cs="Arial"/>
        </w:rPr>
        <w:t>) Heatmap of signaling lymphocyte activation molecule (SLAM) receptors among all 12 clusters (expression of Slamf2 and Slamf9 too sparse among all clusters to include in heatmap).</w:t>
      </w:r>
    </w:p>
    <w:p w14:paraId="4D529FDC" w14:textId="77777777" w:rsidR="00046142" w:rsidRDefault="00046142" w:rsidP="00046142">
      <w:pPr>
        <w:rPr>
          <w:rFonts w:ascii="Arial" w:hAnsi="Arial" w:cs="Arial"/>
        </w:rPr>
      </w:pPr>
      <w:r>
        <w:rPr>
          <w:rFonts w:ascii="Arial" w:hAnsi="Arial" w:cs="Arial"/>
        </w:rPr>
        <w:br w:type="page"/>
      </w:r>
    </w:p>
    <w:p w14:paraId="75CB943C" w14:textId="4CEF30FE" w:rsidR="00046142" w:rsidRDefault="00046142" w:rsidP="00046142">
      <w:pPr>
        <w:spacing w:after="0" w:line="480" w:lineRule="auto"/>
        <w:rPr>
          <w:rFonts w:ascii="Arial" w:hAnsi="Arial" w:cs="Arial"/>
        </w:rPr>
      </w:pPr>
      <w:r>
        <w:rPr>
          <w:rFonts w:ascii="Arial" w:hAnsi="Arial" w:cs="Arial"/>
          <w:noProof/>
        </w:rPr>
        <w:lastRenderedPageBreak/>
        <w:drawing>
          <wp:inline distT="0" distB="0" distL="0" distR="0" wp14:anchorId="3FD310EC" wp14:editId="198890F2">
            <wp:extent cx="5686425" cy="5857875"/>
            <wp:effectExtent l="0" t="0" r="9525" b="9525"/>
            <wp:docPr id="15444198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t="27219"/>
                    <a:stretch>
                      <a:fillRect/>
                    </a:stretch>
                  </pic:blipFill>
                  <pic:spPr bwMode="auto">
                    <a:xfrm>
                      <a:off x="0" y="0"/>
                      <a:ext cx="5686425" cy="5857875"/>
                    </a:xfrm>
                    <a:prstGeom prst="rect">
                      <a:avLst/>
                    </a:prstGeom>
                    <a:noFill/>
                    <a:ln>
                      <a:noFill/>
                    </a:ln>
                  </pic:spPr>
                </pic:pic>
              </a:graphicData>
            </a:graphic>
          </wp:inline>
        </w:drawing>
      </w:r>
    </w:p>
    <w:p w14:paraId="1E02AF6B" w14:textId="77777777" w:rsidR="00046142" w:rsidRDefault="00046142" w:rsidP="00046142">
      <w:pPr>
        <w:spacing w:line="480" w:lineRule="auto"/>
        <w:rPr>
          <w:rFonts w:ascii="Arial" w:hAnsi="Arial" w:cs="Arial"/>
        </w:rPr>
      </w:pPr>
      <w:r w:rsidRPr="008B57B8">
        <w:rPr>
          <w:rFonts w:ascii="Arial" w:hAnsi="Arial" w:cs="Arial"/>
          <w:b/>
          <w:bCs/>
        </w:rPr>
        <w:t xml:space="preserve">Extended Data Figure 2. Gating strategy for edited SMARTA. </w:t>
      </w:r>
      <w:r w:rsidRPr="009E653C">
        <w:rPr>
          <w:rFonts w:ascii="Arial" w:hAnsi="Arial" w:cs="Arial"/>
        </w:rPr>
        <w:t>CD90 editing efficiency was &gt;99% so this was used as an exclusionary gate.</w:t>
      </w:r>
      <w:r>
        <w:rPr>
          <w:rFonts w:ascii="Arial" w:hAnsi="Arial" w:cs="Arial"/>
          <w:b/>
          <w:bCs/>
        </w:rPr>
        <w:t xml:space="preserve"> </w:t>
      </w:r>
      <w:r>
        <w:rPr>
          <w:rFonts w:ascii="Arial" w:hAnsi="Arial" w:cs="Arial"/>
        </w:rPr>
        <w:t xml:space="preserve">As these mice were analyzed at day 7 post infection PD1 instead of SLAMF1 was used in combination with CXCR5 to determine Tfh cells. </w:t>
      </w:r>
    </w:p>
    <w:p w14:paraId="68106BD1" w14:textId="6DED52C7" w:rsidR="00046142" w:rsidRDefault="00046142" w:rsidP="00046142">
      <w:pPr>
        <w:rPr>
          <w:rFonts w:ascii="Arial" w:hAnsi="Arial" w:cs="Arial"/>
        </w:rPr>
      </w:pPr>
      <w:r>
        <w:rPr>
          <w:rFonts w:ascii="Arial" w:hAnsi="Arial" w:cs="Arial"/>
        </w:rPr>
        <w:br w:type="page"/>
      </w:r>
      <w:r>
        <w:rPr>
          <w:rFonts w:ascii="Arial" w:hAnsi="Arial" w:cs="Arial"/>
          <w:noProof/>
        </w:rPr>
        <w:lastRenderedPageBreak/>
        <w:drawing>
          <wp:inline distT="0" distB="0" distL="0" distR="0" wp14:anchorId="1F3D1177" wp14:editId="07EFE749">
            <wp:extent cx="3790950" cy="5362575"/>
            <wp:effectExtent l="0" t="0" r="0" b="9525"/>
            <wp:docPr id="741231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90950" cy="5362575"/>
                    </a:xfrm>
                    <a:prstGeom prst="rect">
                      <a:avLst/>
                    </a:prstGeom>
                    <a:noFill/>
                    <a:ln>
                      <a:noFill/>
                    </a:ln>
                  </pic:spPr>
                </pic:pic>
              </a:graphicData>
            </a:graphic>
          </wp:inline>
        </w:drawing>
      </w:r>
    </w:p>
    <w:p w14:paraId="59659128" w14:textId="590529DC" w:rsidR="00755780" w:rsidRDefault="00046142" w:rsidP="00046142">
      <w:r>
        <w:rPr>
          <w:rFonts w:ascii="Arial" w:hAnsi="Arial" w:cs="Arial"/>
          <w:b/>
          <w:bCs/>
          <w:noProof/>
        </w:rPr>
        <w:t>Extended Data</w:t>
      </w:r>
      <w:r w:rsidRPr="00AA4D0E">
        <w:rPr>
          <w:rFonts w:ascii="Arial" w:hAnsi="Arial" w:cs="Arial"/>
          <w:b/>
          <w:bCs/>
        </w:rPr>
        <w:t xml:space="preserve"> </w:t>
      </w:r>
      <w:r>
        <w:rPr>
          <w:rFonts w:ascii="Arial" w:hAnsi="Arial" w:cs="Arial"/>
          <w:b/>
          <w:bCs/>
        </w:rPr>
        <w:t>F</w:t>
      </w:r>
      <w:r w:rsidRPr="00AA4D0E">
        <w:rPr>
          <w:rFonts w:ascii="Arial" w:hAnsi="Arial" w:cs="Arial"/>
          <w:b/>
          <w:bCs/>
        </w:rPr>
        <w:t xml:space="preserve">igure </w:t>
      </w:r>
      <w:r>
        <w:rPr>
          <w:rFonts w:ascii="Arial" w:hAnsi="Arial" w:cs="Arial"/>
          <w:b/>
          <w:bCs/>
        </w:rPr>
        <w:t>3.</w:t>
      </w:r>
      <w:r w:rsidRPr="00AA4D0E">
        <w:rPr>
          <w:rFonts w:ascii="Arial" w:hAnsi="Arial" w:cs="Arial"/>
          <w:b/>
          <w:bCs/>
          <w:i/>
          <w:iCs/>
        </w:rPr>
        <w:t xml:space="preserve"> </w:t>
      </w:r>
      <w:r w:rsidRPr="00B15DC9">
        <w:rPr>
          <w:rFonts w:ascii="Arial" w:hAnsi="Arial" w:cs="Arial"/>
          <w:b/>
          <w:bCs/>
        </w:rPr>
        <w:t xml:space="preserve">The endogenous GP-61 tetramer response does not differ from the SMARTA response. </w:t>
      </w:r>
      <w:r w:rsidRPr="00B15DC9">
        <w:rPr>
          <w:rFonts w:ascii="Arial" w:hAnsi="Arial" w:cs="Arial"/>
        </w:rPr>
        <w:t xml:space="preserve">Mice were depleted of NK cells as above and a low number of SMARTA were transferred (50,000 vs 500,000). Lymphoid organs were harvested at the indicated time points post infection and the number of SMARTA and the endogenous response are graphed. </w:t>
      </w:r>
      <w:r w:rsidRPr="009E1AAD">
        <w:rPr>
          <w:rFonts w:ascii="Arial" w:hAnsi="Arial" w:cs="Arial"/>
        </w:rPr>
        <w:t>Statistical analysis performed via One-way ANOVA. Depicted is the mean ± SEM.</w:t>
      </w: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142"/>
    <w:rsid w:val="00046142"/>
    <w:rsid w:val="00331A6B"/>
    <w:rsid w:val="003F5856"/>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72765"/>
  <w15:chartTrackingRefBased/>
  <w15:docId w15:val="{BB3E103F-A00C-4800-A6FA-DB2267CE1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142"/>
    <w:rPr>
      <w:kern w:val="0"/>
      <w14:ligatures w14:val="none"/>
    </w:rPr>
  </w:style>
  <w:style w:type="paragraph" w:styleId="Heading1">
    <w:name w:val="heading 1"/>
    <w:basedOn w:val="Normal"/>
    <w:next w:val="Normal"/>
    <w:link w:val="Heading1Char"/>
    <w:uiPriority w:val="9"/>
    <w:qFormat/>
    <w:rsid w:val="00046142"/>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46142"/>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46142"/>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46142"/>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046142"/>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046142"/>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046142"/>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046142"/>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046142"/>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61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61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61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61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61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61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61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61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6142"/>
    <w:rPr>
      <w:rFonts w:eastAsiaTheme="majorEastAsia" w:cstheme="majorBidi"/>
      <w:color w:val="272727" w:themeColor="text1" w:themeTint="D8"/>
    </w:rPr>
  </w:style>
  <w:style w:type="paragraph" w:styleId="Title">
    <w:name w:val="Title"/>
    <w:basedOn w:val="Normal"/>
    <w:next w:val="Normal"/>
    <w:link w:val="TitleChar"/>
    <w:uiPriority w:val="10"/>
    <w:qFormat/>
    <w:rsid w:val="0004614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461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6142"/>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461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6142"/>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046142"/>
    <w:rPr>
      <w:i/>
      <w:iCs/>
      <w:color w:val="404040" w:themeColor="text1" w:themeTint="BF"/>
    </w:rPr>
  </w:style>
  <w:style w:type="paragraph" w:styleId="ListParagraph">
    <w:name w:val="List Paragraph"/>
    <w:basedOn w:val="Normal"/>
    <w:uiPriority w:val="34"/>
    <w:qFormat/>
    <w:rsid w:val="00046142"/>
    <w:pPr>
      <w:ind w:left="720"/>
      <w:contextualSpacing/>
    </w:pPr>
    <w:rPr>
      <w:kern w:val="2"/>
      <w14:ligatures w14:val="standardContextual"/>
    </w:rPr>
  </w:style>
  <w:style w:type="character" w:styleId="IntenseEmphasis">
    <w:name w:val="Intense Emphasis"/>
    <w:basedOn w:val="DefaultParagraphFont"/>
    <w:uiPriority w:val="21"/>
    <w:qFormat/>
    <w:rsid w:val="00046142"/>
    <w:rPr>
      <w:i/>
      <w:iCs/>
      <w:color w:val="0F4761" w:themeColor="accent1" w:themeShade="BF"/>
    </w:rPr>
  </w:style>
  <w:style w:type="paragraph" w:styleId="IntenseQuote">
    <w:name w:val="Intense Quote"/>
    <w:basedOn w:val="Normal"/>
    <w:next w:val="Normal"/>
    <w:link w:val="IntenseQuoteChar"/>
    <w:uiPriority w:val="30"/>
    <w:qFormat/>
    <w:rsid w:val="000461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046142"/>
    <w:rPr>
      <w:i/>
      <w:iCs/>
      <w:color w:val="0F4761" w:themeColor="accent1" w:themeShade="BF"/>
    </w:rPr>
  </w:style>
  <w:style w:type="character" w:styleId="IntenseReference">
    <w:name w:val="Intense Reference"/>
    <w:basedOn w:val="DefaultParagraphFont"/>
    <w:uiPriority w:val="32"/>
    <w:qFormat/>
    <w:rsid w:val="0004614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176</Words>
  <Characters>1006</Characters>
  <Application>Microsoft Office Word</Application>
  <DocSecurity>0</DocSecurity>
  <Lines>8</Lines>
  <Paragraphs>2</Paragraphs>
  <ScaleCrop>false</ScaleCrop>
  <Company>Springer Nature</Company>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2024-08-30T04:36:00Z</dcterms:created>
  <dcterms:modified xsi:type="dcterms:W3CDTF">2024-08-30T04:36:00Z</dcterms:modified>
</cp:coreProperties>
</file>