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D8369F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color w:val="222222"/>
          <w:spacing w:val="-3"/>
          <w:sz w:val="25"/>
          <w:szCs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noProof/>
          <w:color w:val="222222"/>
          <w:spacing w:val="-3"/>
          <w:sz w:val="25"/>
          <w:szCs w:val="25"/>
          <w:shd w:val="clear" w:color="auto" w:fill="FFFFFF"/>
          <w:lang w:val="en-US"/>
        </w:rPr>
        <w:drawing>
          <wp:inline distT="0" distB="0" distL="0" distR="0" wp14:anchorId="60F24966" wp14:editId="14F7ED64">
            <wp:extent cx="4124325" cy="5149183"/>
            <wp:effectExtent l="0" t="0" r="0" b="0"/>
            <wp:docPr id="21" name="Grafik 2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fik 21" descr="A screenshot of a compu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281" cy="516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45365" w14:textId="77777777" w:rsidR="00F83CEC" w:rsidRPr="0081701D" w:rsidRDefault="00F83CEC" w:rsidP="00F83CEC">
      <w:pPr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1 | Design of the phospho-proteomics experiment. 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a,</w:t>
      </w:r>
      <w:r w:rsidRPr="0081701D">
        <w:rPr>
          <w:rFonts w:ascii="Times New Roman" w:hAnsi="Times New Roman"/>
          <w:sz w:val="25"/>
          <w:lang w:val="en-US"/>
        </w:rPr>
        <w:t xml:space="preserve"> </w:t>
      </w:r>
      <w:r w:rsidRPr="0081701D">
        <w:rPr>
          <w:rFonts w:ascii="Tahoma" w:hAnsi="Tahoma" w:cs="Tahoma"/>
          <w:b/>
          <w:bCs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ahoma" w:hAnsi="Tahoma" w:cs="Tahoma"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Phospho-proteomics workflow. Samples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were harvested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from WT and </w:t>
      </w:r>
      <w:r w:rsidRPr="0081701D">
        <w:rPr>
          <w:rFonts w:ascii="Times New Roman" w:hAnsi="Times New Roman" w:cs="Times New Roman"/>
          <w:i/>
          <w:color w:val="222222"/>
          <w:spacing w:val="-3"/>
          <w:sz w:val="25"/>
          <w:szCs w:val="25"/>
          <w:shd w:val="clear" w:color="auto" w:fill="FFFFFF"/>
          <w:lang w:val="en-US"/>
        </w:rPr>
        <w:t>syr1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 cell cultures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before and at 5 time points after systemin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treatment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in six biological replicates, resulting in a total of 72 samples.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From each sample, the microsomal membrane fraction was extracted and digested with trypsin and LysC. After phospho-peptide enrichment, samples were analyzed by LC-MS/MS. Raw files were transferred to MaxQant for peptide quantification using the tomato proteome database ITA</w:t>
      </w:r>
      <w:r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G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3.2 as the reference. 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b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, </w:t>
      </w:r>
      <w: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H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ierarchical clustering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of the 72 samples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clearly separated the two genotypes.</w:t>
      </w:r>
    </w:p>
    <w:p w14:paraId="06F0172C" w14:textId="77777777" w:rsidR="00F83CEC" w:rsidRPr="0081701D" w:rsidRDefault="00F83CEC" w:rsidP="00F83CEC">
      <w:pPr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br w:type="page"/>
      </w:r>
    </w:p>
    <w:p w14:paraId="43B59F6B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r>
        <w:rPr>
          <w:rFonts w:ascii="Times New Roman" w:hAnsi="Times New Roman" w:cs="Times New Roman"/>
          <w:b/>
          <w:bCs/>
          <w:noProof/>
          <w:sz w:val="25"/>
          <w:szCs w:val="25"/>
          <w:lang w:val="en-US"/>
        </w:rPr>
        <w:lastRenderedPageBreak/>
        <w:drawing>
          <wp:inline distT="0" distB="0" distL="0" distR="0" wp14:anchorId="17360897" wp14:editId="659E03FE">
            <wp:extent cx="4930333" cy="4674412"/>
            <wp:effectExtent l="0" t="0" r="381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xtended Fig 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6713" cy="4680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19AB3" w14:textId="77777777" w:rsidR="00F83CEC" w:rsidRDefault="00F83CEC" w:rsidP="00F83CEC">
      <w:pP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2 | Selection of PLL2 as a candidate phosphatase specifically involved in systemin signaling. 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a,</w:t>
      </w:r>
      <w:r w:rsidRPr="0081701D">
        <w:rPr>
          <w:rFonts w:ascii="Times New Roman" w:hAnsi="Times New Roman"/>
          <w:sz w:val="25"/>
          <w:lang w:val="en-US"/>
        </w:rPr>
        <w:t xml:space="preserve"> </w:t>
      </w:r>
      <w:r w:rsidRPr="0081701D">
        <w:rPr>
          <w:rFonts w:ascii="Tahoma" w:hAnsi="Tahoma" w:cs="Tahoma"/>
          <w:b/>
          <w:bCs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ahoma" w:hAnsi="Tahoma" w:cs="Tahoma"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Gap statistic identifies the optimal number of clusters as K = 5. The K-means clustering algorithm requires a predefined number of clusters K that is chosen to best describe the structure of the data. Gap statistics showed that the cluster structure showed maximum distance from the random uniform distribution of points with K = 5.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10 was set as the upper limit for K and 100 bootstrapping runs were performed in fviz_nbclust</w:t>
      </w:r>
      <w:r w:rsidRPr="001C5B38">
        <w:rPr>
          <w:rFonts w:ascii="Times New Roman" w:eastAsia="Times New Roman" w:hAnsi="Times New Roman" w:cs="Times New Roman"/>
          <w:noProof/>
          <w:color w:val="000000"/>
          <w:sz w:val="25"/>
          <w:szCs w:val="25"/>
          <w:shd w:val="clear" w:color="auto" w:fill="FFFFFF"/>
          <w:vertAlign w:val="superscript"/>
          <w:lang w:val="en-US" w:eastAsia="zh-CN"/>
        </w:rPr>
        <w:t>42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 (method = "gap_stat”). </w:t>
      </w:r>
      <w:r w:rsidRPr="0081701D">
        <w:rPr>
          <w:rFonts w:ascii="Times New Roman" w:hAnsi="Times New Roman" w:cs="Times New Roman"/>
          <w:b/>
          <w:color w:val="222222"/>
          <w:spacing w:val="-3"/>
          <w:sz w:val="25"/>
          <w:szCs w:val="25"/>
          <w:shd w:val="clear" w:color="auto" w:fill="FFFFFF"/>
          <w:lang w:val="en-US"/>
        </w:rPr>
        <w:t>b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, Protein phosphatases represented in this phosphoproteome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dataset belonged to four different families: metallo-dependent protein phosphatases (PPM)/ type 2C protein phosphatases (PP2C), phosphoprotein phosphatases (PPP), protein tyrosine phosphatases (PTP) and aspartate (Asp)-dependent phosphatases. Intensity of shading is used to indicate the number of detected phospho-sites with darker colors indicating more phospho-sites for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a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given protein. Most phospho-sites were found in POLTERGEIST-LIKE phosphatases (boxed in orange). 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c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, Phylogenetic tree of POL family proteins from Arabidopsis and tomato. The tree was generated by PhyloGenes (v4.1) based on GIGA algorithm</w:t>
      </w:r>
      <w:r w:rsidRPr="001C5B38">
        <w:rPr>
          <w:rFonts w:ascii="Times New Roman" w:hAnsi="Times New Roman" w:cs="Times New Roman"/>
          <w:noProof/>
          <w:color w:val="222222"/>
          <w:spacing w:val="-3"/>
          <w:sz w:val="25"/>
          <w:szCs w:val="25"/>
          <w:shd w:val="clear" w:color="auto" w:fill="FFFFFF"/>
          <w:vertAlign w:val="superscript"/>
          <w:lang w:val="en-US"/>
        </w:rPr>
        <w:t>54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.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SlPLL2 (highlighted in red) is located in a sister clade to Arabidopsis PLL2 – PLL5. </w:t>
      </w:r>
      <w:r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d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, SlPLL2 has three phospho-sites that show a transient drop in intensity at 1 min after systemin treatment (cluster 2). </w:t>
      </w:r>
      <w: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Cluster distribution is shown for the phospho-sites of PPM/PP2C family phosphatases.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The number of phospho-sites in each cluster is reflected by the intensity of color shading and size of the dots. SlPLL2 (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Solyc06g076100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) stands out as all three </w:t>
      </w:r>
      <w: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differentially phosphorylated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sites belong to cluster 2.</w:t>
      </w:r>
    </w:p>
    <w:p w14:paraId="1D887BCD" w14:textId="77777777" w:rsidR="00F83CEC" w:rsidRDefault="00F83CEC" w:rsidP="00F83CEC">
      <w:pP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</w:pPr>
      <w: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br w:type="page"/>
      </w:r>
    </w:p>
    <w:p w14:paraId="180238D9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r w:rsidRPr="0081701D">
        <w:rPr>
          <w:rFonts w:ascii="Times New Roman" w:hAnsi="Times New Roman" w:cs="Times New Roman"/>
          <w:b/>
          <w:bCs/>
          <w:noProof/>
          <w:sz w:val="25"/>
          <w:szCs w:val="25"/>
          <w:lang w:val="en-US"/>
        </w:rPr>
        <w:lastRenderedPageBreak/>
        <w:drawing>
          <wp:inline distT="0" distB="0" distL="0" distR="0" wp14:anchorId="4D815A9B" wp14:editId="34EC3AF1">
            <wp:extent cx="3999798" cy="2933815"/>
            <wp:effectExtent l="0" t="0" r="0" b="0"/>
            <wp:docPr id="15" name="Grafik 15" descr="A black background with whit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A black background with white squares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52" t="21571" r="26564" b="38868"/>
                    <a:stretch/>
                  </pic:blipFill>
                  <pic:spPr bwMode="auto">
                    <a:xfrm>
                      <a:off x="0" y="0"/>
                      <a:ext cx="4018336" cy="2947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4B9A5A" w14:textId="77777777" w:rsidR="00F83CEC" w:rsidRPr="0081701D" w:rsidRDefault="00F83CEC" w:rsidP="00F83CEC">
      <w:pP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3 | Quantification of SlPLL2 variants in protein extracts used for phosphatase activity assays shown in Fig. 2a, b. </w:t>
      </w:r>
      <w:r w:rsidRPr="0081701D">
        <w:rPr>
          <w:rFonts w:ascii="Tahoma" w:hAnsi="Tahoma" w:cs="Tahoma"/>
          <w:b/>
          <w:bCs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ahoma" w:hAnsi="Tahoma" w:cs="Tahoma"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SlPLL2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vertAlign w:val="superscript"/>
          <w:lang w:val="en-US"/>
        </w:rPr>
        <w:t>WT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, SlPLL2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vertAlign w:val="superscript"/>
          <w:lang w:val="en-US"/>
        </w:rPr>
        <w:t>3A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and SlPLL2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vertAlign w:val="superscript"/>
          <w:lang w:val="en-US"/>
        </w:rPr>
        <w:t>3D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were expressed as C-terminal GFP fusion proteins in </w:t>
      </w:r>
      <w:r w:rsidRPr="0081701D">
        <w:rPr>
          <w:rFonts w:ascii="Times New Roman" w:hAnsi="Times New Roman"/>
          <w:i/>
          <w:color w:val="222222"/>
          <w:spacing w:val="-3"/>
          <w:sz w:val="25"/>
          <w:shd w:val="clear" w:color="auto" w:fill="FFFFFF"/>
          <w:lang w:val="en-US"/>
        </w:rPr>
        <w:t>N. benthamiana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, and purified from leaf extracts by GFP-trap (Chromotek). Abundance of the GFP fusion proteins was analyzed by anti-GFP immunoblotting.  In each of the six independent experiments, similar expression levels were observed for the three SlPLL2 variants.</w:t>
      </w:r>
    </w:p>
    <w:p w14:paraId="776D270A" w14:textId="77777777" w:rsidR="00F83CEC" w:rsidRPr="0081701D" w:rsidRDefault="00F83CEC" w:rsidP="00F83CEC">
      <w:pP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br w:type="page"/>
      </w:r>
    </w:p>
    <w:p w14:paraId="317F9B40" w14:textId="77777777" w:rsidR="00F83CEC" w:rsidRPr="0081701D" w:rsidRDefault="00F83CEC" w:rsidP="00F83CEC">
      <w:pPr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</w:pPr>
    </w:p>
    <w:p w14:paraId="0773C064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r>
        <w:rPr>
          <w:rFonts w:ascii="Times New Roman" w:hAnsi="Times New Roman" w:cs="Times New Roman"/>
          <w:b/>
          <w:bCs/>
          <w:noProof/>
          <w:sz w:val="25"/>
          <w:szCs w:val="25"/>
          <w:lang w:val="en-US"/>
        </w:rPr>
        <w:drawing>
          <wp:inline distT="0" distB="0" distL="0" distR="0" wp14:anchorId="54C53358" wp14:editId="7485326B">
            <wp:extent cx="5047488" cy="5278797"/>
            <wp:effectExtent l="0" t="0" r="1270" b="0"/>
            <wp:docPr id="4" name="Grafik 4" descr="A screenshot of a computer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A screenshot of a computer gam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3505" cy="5285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88382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</w:p>
    <w:p w14:paraId="21CA017F" w14:textId="77777777" w:rsidR="00F83CEC" w:rsidRPr="0081701D" w:rsidRDefault="00F83CEC" w:rsidP="00F83CEC">
      <w:pPr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4 | Identification of plasma membrane proton pumps LHA1 and LHA4 as candidate substrates of SlPLL2. </w:t>
      </w:r>
      <w:r w:rsidRPr="0081701D">
        <w:rPr>
          <w:rFonts w:ascii="Tahoma" w:hAnsi="Tahoma" w:cs="Tahoma"/>
          <w:b/>
          <w:bCs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ahoma" w:hAnsi="Tahoma" w:cs="Tahoma"/>
          <w:color w:val="222222"/>
          <w:spacing w:val="-3"/>
          <w:sz w:val="25"/>
          <w:szCs w:val="25"/>
          <w:shd w:val="clear" w:color="auto" w:fill="FFFFFF"/>
          <w:lang w:val="en-US"/>
        </w:rPr>
        <w:t>﻿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a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, over-representation analysis of biological processes in the five clusters. The proteins represented by the phospho-sites in each of the five clusters were subjected to MapMan over-representation analysis. MapMan bins of biological processes that were significantly (</w:t>
      </w:r>
      <w:r w:rsidRPr="0081701D">
        <w:rPr>
          <w:rFonts w:ascii="Times New Roman" w:hAnsi="Times New Roman"/>
          <w:i/>
          <w:color w:val="222222"/>
          <w:spacing w:val="-3"/>
          <w:sz w:val="25"/>
          <w:shd w:val="clear" w:color="auto" w:fill="FFFFFF"/>
          <w:lang w:val="en-US"/>
        </w:rPr>
        <w:t>P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&lt;0.05)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enriched are plotted according to cluster number.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The size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of the dots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reflects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the number of phospho-sites for each bin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, color shading indicates </w:t>
      </w:r>
      <w:r w:rsidRPr="0081701D">
        <w:rPr>
          <w:rFonts w:ascii="Times New Roman" w:hAnsi="Times New Roman" w:cs="Times New Roman"/>
          <w:i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P 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value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. Bins related to solute transport (bin 24) are enriched in clusters 2 and 3 including LHA1 and LHA4. 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b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, phylogenetic analysis of tomato and Arabidopsis P-type H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vertAlign w:val="superscript"/>
          <w:lang w:val="en-US"/>
        </w:rPr>
        <w:t>+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>-ATPases. The tree was generated by PhyloGenes (v4.1) based on GIGA algorithm</w:t>
      </w:r>
      <w:r w:rsidRPr="001C5B38">
        <w:rPr>
          <w:rFonts w:ascii="Times New Roman" w:hAnsi="Times New Roman" w:cs="Times New Roman"/>
          <w:noProof/>
          <w:color w:val="222222"/>
          <w:spacing w:val="-3"/>
          <w:sz w:val="25"/>
          <w:szCs w:val="25"/>
          <w:shd w:val="clear" w:color="auto" w:fill="FFFFFF"/>
          <w:vertAlign w:val="superscript"/>
          <w:lang w:val="en-US"/>
        </w:rPr>
        <w:t>54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. LHA1 and LHA4 are highlighted in red. </w:t>
      </w:r>
      <w:r w:rsidRPr="0081701D">
        <w:rPr>
          <w:rFonts w:ascii="Times New Roman" w:hAnsi="Times New Roman" w:cs="Times New Roman"/>
          <w:b/>
          <w:color w:val="222222"/>
          <w:spacing w:val="-3"/>
          <w:sz w:val="25"/>
          <w:szCs w:val="25"/>
          <w:shd w:val="clear" w:color="auto" w:fill="FFFFFF"/>
          <w:lang w:val="en-US"/>
        </w:rPr>
        <w:t>c, d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 xml:space="preserve"> normalized intensity of phosphorylation of the regulatory threonine T951 of LHA4 (</w:t>
      </w:r>
      <w:r w:rsidRPr="0081701D">
        <w:rPr>
          <w:rFonts w:ascii="Times New Roman" w:hAnsi="Times New Roman" w:cs="Times New Roman"/>
          <w:b/>
          <w:color w:val="222222"/>
          <w:spacing w:val="-3"/>
          <w:sz w:val="25"/>
          <w:szCs w:val="25"/>
          <w:shd w:val="clear" w:color="auto" w:fill="FFFFFF"/>
          <w:lang w:val="en-US"/>
        </w:rPr>
        <w:t>c</w:t>
      </w:r>
      <w:r w:rsidRPr="0081701D">
        <w:rPr>
          <w:rFonts w:ascii="Times New Roman" w:hAnsi="Times New Roman" w:cs="Times New Roman"/>
          <w:color w:val="222222"/>
          <w:spacing w:val="-3"/>
          <w:sz w:val="25"/>
          <w:szCs w:val="25"/>
          <w:shd w:val="clear" w:color="auto" w:fill="FFFFFF"/>
          <w:lang w:val="en-US"/>
        </w:rPr>
        <w:t>, Solyc07g017780) and T955 of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LHA1 (</w:t>
      </w: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t>d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, Solyc03g113400) is shown in a time series after systemin treatment of the </w:t>
      </w:r>
      <w:r>
        <w:rPr>
          <w:rFonts w:ascii="Times New Roman" w:hAnsi="Times New Roman"/>
          <w:i/>
          <w:color w:val="222222"/>
          <w:spacing w:val="-3"/>
          <w:sz w:val="25"/>
          <w:shd w:val="clear" w:color="auto" w:fill="FFFFFF"/>
          <w:lang w:val="en-US"/>
        </w:rPr>
        <w:t>S</w:t>
      </w:r>
      <w:r w:rsidRPr="0081701D">
        <w:rPr>
          <w:rFonts w:ascii="Times New Roman" w:hAnsi="Times New Roman"/>
          <w:i/>
          <w:color w:val="222222"/>
          <w:spacing w:val="-3"/>
          <w:sz w:val="25"/>
          <w:shd w:val="clear" w:color="auto" w:fill="FFFFFF"/>
          <w:lang w:val="en-US"/>
        </w:rPr>
        <w:t xml:space="preserve">. peruvianum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wild-type (WT; red) and </w:t>
      </w:r>
      <w:r w:rsidRPr="0081701D">
        <w:rPr>
          <w:rFonts w:ascii="Times New Roman" w:hAnsi="Times New Roman"/>
          <w:i/>
          <w:color w:val="222222"/>
          <w:spacing w:val="-3"/>
          <w:sz w:val="25"/>
          <w:shd w:val="clear" w:color="auto" w:fill="FFFFFF"/>
          <w:lang w:val="en-US"/>
        </w:rPr>
        <w:t>syr1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t xml:space="preserve"> (blue) cell cultures in six biological replicates. The trendline connects the mean intensity at each time point.  </w:t>
      </w:r>
      <w:r w:rsidRPr="0081701D">
        <w:rPr>
          <w:rFonts w:ascii="Times New Roman" w:hAnsi="Times New Roman"/>
          <w:color w:val="222222"/>
          <w:spacing w:val="-3"/>
          <w:sz w:val="25"/>
          <w:shd w:val="clear" w:color="auto" w:fill="FFFFFF"/>
          <w:lang w:val="en-US"/>
        </w:rPr>
        <w:br w:type="page"/>
      </w:r>
    </w:p>
    <w:p w14:paraId="5DA834EF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r w:rsidRPr="0081701D">
        <w:rPr>
          <w:rFonts w:ascii="Times New Roman" w:hAnsi="Times New Roman" w:cs="Times New Roman"/>
          <w:b/>
          <w:bCs/>
          <w:noProof/>
          <w:sz w:val="25"/>
          <w:szCs w:val="25"/>
          <w:lang w:val="en-US"/>
        </w:rPr>
        <w:lastRenderedPageBreak/>
        <w:drawing>
          <wp:inline distT="0" distB="0" distL="0" distR="0" wp14:anchorId="0339A976" wp14:editId="5626CC96">
            <wp:extent cx="4938556" cy="6047381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xtended Figure5a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1129" cy="605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39FD3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5 | </w:t>
      </w:r>
      <w:bookmarkStart w:id="0" w:name="_Hlk173496872"/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LHA1/4 and SlPLL2 interact </w:t>
      </w:r>
      <w:bookmarkEnd w:id="0"/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>at the plasma membrane.</w:t>
      </w:r>
      <w:r w:rsidRPr="0081701D">
        <w:rPr>
          <w:rFonts w:ascii="Tahoma" w:hAnsi="Tahoma" w:cs="Tahoma"/>
          <w:sz w:val="25"/>
          <w:szCs w:val="25"/>
          <w:shd w:val="clear" w:color="auto" w:fill="FFFFFF"/>
          <w:lang w:val="en-US"/>
        </w:rPr>
        <w:t xml:space="preserve"> ﻿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</w:t>
      </w:r>
      <w:r w:rsidRPr="0081701D">
        <w:rPr>
          <w:rFonts w:ascii="Times New Roman" w:hAnsi="Times New Roman"/>
          <w:b/>
          <w:sz w:val="25"/>
          <w:shd w:val="clear" w:color="auto" w:fill="FFFFFF"/>
          <w:lang w:val="en-US"/>
        </w:rPr>
        <w:t>a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>, SlPLL2 localizes to the plasma membrane irrespective of the phosphorylation status of S142-S151-S160. SlPLL2-GFP (WT</w:t>
      </w:r>
      <w:r>
        <w:rPr>
          <w:rFonts w:ascii="Times New Roman" w:hAnsi="Times New Roman"/>
          <w:sz w:val="25"/>
          <w:shd w:val="clear" w:color="auto" w:fill="FFFFFF"/>
          <w:lang w:val="en-US"/>
        </w:rPr>
        <w:t xml:space="preserve">, 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>3A</w:t>
      </w:r>
      <w:r>
        <w:rPr>
          <w:rFonts w:ascii="Times New Roman" w:hAnsi="Times New Roman"/>
          <w:sz w:val="25"/>
          <w:shd w:val="clear" w:color="auto" w:fill="FFFFFF"/>
          <w:lang w:val="en-US"/>
        </w:rPr>
        <w:t xml:space="preserve"> and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3D mutants) were transiently expressed in </w:t>
      </w:r>
      <w:r w:rsidRPr="0081701D">
        <w:rPr>
          <w:rFonts w:ascii="Times New Roman" w:hAnsi="Times New Roman"/>
          <w:i/>
          <w:sz w:val="25"/>
          <w:shd w:val="clear" w:color="auto" w:fill="FFFFFF"/>
          <w:lang w:val="en-US"/>
        </w:rPr>
        <w:t>N. benthamiana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leaves. Leaf pieces were incubated in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10 µM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FM4-64 (plasma membrane marker) 15 min before confocal imaging using a Zeiss LSM900 microscope in the red (FM4-64) and green (GFP) channels, respectively; scale bar = 10 µm. </w:t>
      </w:r>
      <w:r w:rsidRPr="0081701D">
        <w:rPr>
          <w:rFonts w:ascii="Times New Roman" w:hAnsi="Times New Roman"/>
          <w:b/>
          <w:sz w:val="25"/>
          <w:shd w:val="clear" w:color="auto" w:fill="FFFFFF"/>
          <w:lang w:val="en-US"/>
        </w:rPr>
        <w:t>b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, </w:t>
      </w:r>
      <w:r>
        <w:rPr>
          <w:rFonts w:ascii="Times New Roman" w:hAnsi="Times New Roman"/>
          <w:sz w:val="25"/>
          <w:shd w:val="clear" w:color="auto" w:fill="FFFFFF"/>
          <w:lang w:val="en-US"/>
        </w:rPr>
        <w:t>I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>nteraction of LHA1/4 and SlPLL2 is indicated by bimolecular fluorescence complementation (BiFC). Tomato H</w:t>
      </w:r>
      <w:r w:rsidRPr="0081701D">
        <w:rPr>
          <w:rFonts w:ascii="Times New Roman" w:hAnsi="Times New Roman"/>
          <w:sz w:val="25"/>
          <w:shd w:val="clear" w:color="auto" w:fill="FFFFFF"/>
          <w:vertAlign w:val="superscript"/>
          <w:lang w:val="en-US"/>
        </w:rPr>
        <w:t>+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-ATPases (LHA1 and LHA4) fused with nYFP, and SlPLL2 with cYFP were transiently expressed in </w:t>
      </w:r>
      <w:r w:rsidRPr="0081701D">
        <w:rPr>
          <w:rFonts w:ascii="Times New Roman" w:hAnsi="Times New Roman"/>
          <w:i/>
          <w:sz w:val="25"/>
          <w:shd w:val="clear" w:color="auto" w:fill="FFFFFF"/>
          <w:lang w:val="en-US"/>
        </w:rPr>
        <w:t>N. benthamiana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leaves. LHA1 and LHA4 fused with full-length YFP, and SlPLL2 with GFP were used as positive controls. Negative controls included leaves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expressing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LHA1-nYFP, LHA4-nYFP or SlPLL2 -cYFP alone; scale bar = 50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μ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>m.</w:t>
      </w:r>
    </w:p>
    <w:p w14:paraId="3B1723D1" w14:textId="77777777" w:rsidR="00F83CEC" w:rsidRPr="0081701D" w:rsidRDefault="00F83CEC" w:rsidP="00F83CEC">
      <w:pPr>
        <w:rPr>
          <w:rFonts w:ascii="Times New Roman" w:hAnsi="Times New Roman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br w:type="page"/>
      </w:r>
    </w:p>
    <w:p w14:paraId="01C5CB51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/>
          <w:sz w:val="25"/>
          <w:shd w:val="clear" w:color="auto" w:fill="FFFFFF"/>
          <w:lang w:val="en-US"/>
        </w:rPr>
      </w:pPr>
    </w:p>
    <w:p w14:paraId="1C15935B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r w:rsidRPr="0081701D">
        <w:rPr>
          <w:rFonts w:ascii="Times New Roman" w:hAnsi="Times New Roman" w:cs="Times New Roman"/>
          <w:b/>
          <w:bCs/>
          <w:noProof/>
          <w:sz w:val="25"/>
          <w:szCs w:val="25"/>
          <w:lang w:val="en-US"/>
        </w:rPr>
        <w:drawing>
          <wp:inline distT="0" distB="0" distL="0" distR="0" wp14:anchorId="29838398" wp14:editId="13A9CF5F">
            <wp:extent cx="4527121" cy="4006850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Extended Figure6as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92" r="21027"/>
                    <a:stretch/>
                  </pic:blipFill>
                  <pic:spPr bwMode="auto">
                    <a:xfrm>
                      <a:off x="0" y="0"/>
                      <a:ext cx="4527735" cy="4007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C2D4FE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6 | Three independent </w:t>
      </w:r>
      <w:r w:rsidRPr="0081701D">
        <w:rPr>
          <w:rFonts w:ascii="Times New Roman" w:hAnsi="Times New Roman" w:cs="Times New Roman"/>
          <w:b/>
          <w:bCs/>
          <w:i/>
          <w:sz w:val="25"/>
          <w:szCs w:val="25"/>
          <w:lang w:val="en-US"/>
        </w:rPr>
        <w:t xml:space="preserve">pll2 </w:t>
      </w: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>alleles were used in this study.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Sequence analysis revealed three independent CRISPR/Cas9-generated mutations at the 1st guide RNA resulting in the addition of one, and deletion of 1 or 595 base pairs (boxed in red) from the </w:t>
      </w:r>
      <w:r w:rsidRPr="0081701D">
        <w:rPr>
          <w:rFonts w:ascii="Times New Roman" w:hAnsi="Times New Roman"/>
          <w:i/>
          <w:sz w:val="25"/>
          <w:shd w:val="clear" w:color="auto" w:fill="FFFFFF"/>
          <w:lang w:val="en-US"/>
        </w:rPr>
        <w:t>SlPLL2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locus. These mutations resulted in truncated proteins of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145, 147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, and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219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amino acids, respectively. The PAM sequence is indicated in green; the Cas9 cleavage site is located 3 bp upstream of the PAM sequence (red arrow).</w:t>
      </w:r>
    </w:p>
    <w:p w14:paraId="0771D0F8" w14:textId="77777777" w:rsidR="00F83CEC" w:rsidRPr="0081701D" w:rsidRDefault="00F83CEC" w:rsidP="00F83CEC">
      <w:pPr>
        <w:rPr>
          <w:rFonts w:ascii="Times New Roman" w:hAnsi="Times New Roman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br w:type="page"/>
      </w:r>
    </w:p>
    <w:p w14:paraId="346A7285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/>
          <w:sz w:val="25"/>
          <w:shd w:val="clear" w:color="auto" w:fill="FFFFFF"/>
          <w:lang w:val="en-US"/>
        </w:rPr>
      </w:pPr>
    </w:p>
    <w:p w14:paraId="72B81A2B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/>
          <w:sz w:val="25"/>
          <w:shd w:val="clear" w:color="auto" w:fill="FFFFFF"/>
          <w:lang w:val="en-US"/>
        </w:rPr>
      </w:pPr>
    </w:p>
    <w:p w14:paraId="1BD0C79E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  <w:r w:rsidRPr="0081701D">
        <w:rPr>
          <w:rFonts w:ascii="Times New Roman" w:hAnsi="Times New Roman" w:cs="Times New Roman"/>
          <w:b/>
          <w:bCs/>
          <w:noProof/>
          <w:sz w:val="25"/>
          <w:szCs w:val="25"/>
          <w:lang w:val="en-US"/>
        </w:rPr>
        <w:drawing>
          <wp:inline distT="0" distB="0" distL="0" distR="0" wp14:anchorId="288446D0" wp14:editId="436EFB41">
            <wp:extent cx="4772025" cy="4491530"/>
            <wp:effectExtent l="0" t="0" r="0" b="4445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Extended Figure7a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053" cy="450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6A821" w14:textId="77777777" w:rsidR="00F83CEC" w:rsidRPr="0081701D" w:rsidRDefault="00F83CEC" w:rsidP="00F83CEC">
      <w:pPr>
        <w:pStyle w:val="ListBullet"/>
        <w:numPr>
          <w:ilvl w:val="0"/>
          <w:numId w:val="0"/>
        </w:numPr>
        <w:contextualSpacing w:val="0"/>
        <w:rPr>
          <w:rFonts w:ascii="Times New Roman" w:hAnsi="Times New Roman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 xml:space="preserve">Extended Data Fig.  7 | Systemin-mediated inhibition of root and hypocotyl growth is reduced in </w:t>
      </w:r>
      <w:r w:rsidRPr="0081701D">
        <w:rPr>
          <w:rFonts w:ascii="Times New Roman" w:hAnsi="Times New Roman" w:cs="Times New Roman"/>
          <w:b/>
          <w:bCs/>
          <w:i/>
          <w:sz w:val="25"/>
          <w:szCs w:val="25"/>
          <w:lang w:val="en-US"/>
        </w:rPr>
        <w:t>pll2</w:t>
      </w: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>.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Tomato wild-type (WT) and </w:t>
      </w:r>
      <w:r w:rsidRPr="0081701D">
        <w:rPr>
          <w:rFonts w:ascii="Times New Roman" w:hAnsi="Times New Roman"/>
          <w:i/>
          <w:sz w:val="25"/>
          <w:shd w:val="clear" w:color="auto" w:fill="FFFFFF"/>
          <w:lang w:val="en-US"/>
        </w:rPr>
        <w:t>slpll2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seedlings were grown on ATS media with or without 100 nM systemin. After seven days of growth, root and hypocotyl length were determined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in Fiji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and analyzed by ANOVA followed by Tukey test.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Asterisks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indicate significant difference at **</w:t>
      </w:r>
      <w:r w:rsidRPr="0081701D">
        <w:rPr>
          <w:rFonts w:ascii="Times New Roman" w:hAnsi="Times New Roman"/>
          <w:i/>
          <w:sz w:val="25"/>
          <w:shd w:val="clear" w:color="auto" w:fill="FFFFFF"/>
          <w:lang w:val="en-US"/>
        </w:rPr>
        <w:t>P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&lt; 0.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01 and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****</w:t>
      </w:r>
      <w:r w:rsidRPr="0081701D">
        <w:rPr>
          <w:rFonts w:ascii="Times New Roman" w:hAnsi="Times New Roman"/>
          <w:i/>
          <w:sz w:val="25"/>
          <w:shd w:val="clear" w:color="auto" w:fill="FFFFFF"/>
          <w:lang w:val="en-US"/>
        </w:rPr>
        <w:t>P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&lt; 0.0001; ns: not significant, n = 29 seedlings grown in 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three</w:t>
      </w:r>
      <w:r w:rsidRPr="0081701D">
        <w:rPr>
          <w:rFonts w:ascii="Times New Roman" w:hAnsi="Times New Roman"/>
          <w:sz w:val="25"/>
          <w:shd w:val="clear" w:color="auto" w:fill="FFFFFF"/>
          <w:lang w:val="en-US"/>
        </w:rPr>
        <w:t xml:space="preserve"> independent experiments. Box plots display the first and third quartiles split by the median; whiskers extend to include the maximum and minimum values. </w:t>
      </w:r>
    </w:p>
    <w:p w14:paraId="4FECC883" w14:textId="77777777" w:rsidR="00F83CEC" w:rsidRPr="0081701D" w:rsidRDefault="00F83CEC" w:rsidP="00F83CEC">
      <w:pPr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</w:pPr>
      <w:r w:rsidRPr="0081701D">
        <w:rPr>
          <w:rFonts w:ascii="Times New Roman" w:hAnsi="Times New Roman"/>
          <w:b/>
          <w:color w:val="222222"/>
          <w:spacing w:val="-3"/>
          <w:sz w:val="25"/>
          <w:shd w:val="clear" w:color="auto" w:fill="FFFFFF"/>
          <w:lang w:val="en-US"/>
        </w:rPr>
        <w:br w:type="page"/>
      </w:r>
    </w:p>
    <w:p w14:paraId="49D53137" w14:textId="77777777" w:rsidR="00F83CEC" w:rsidRPr="0081701D" w:rsidRDefault="00F83CEC" w:rsidP="00F83CEC">
      <w:pPr>
        <w:rPr>
          <w:rFonts w:ascii="Times New Roman" w:hAnsi="Times New Roman" w:cs="Times New Roman"/>
          <w:b/>
          <w:bCs/>
          <w:color w:val="222222"/>
          <w:spacing w:val="-3"/>
          <w:sz w:val="25"/>
          <w:szCs w:val="25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bCs/>
          <w:noProof/>
          <w:color w:val="222222"/>
          <w:spacing w:val="-3"/>
          <w:sz w:val="25"/>
          <w:szCs w:val="25"/>
          <w:shd w:val="clear" w:color="auto" w:fill="FFFFFF"/>
          <w:lang w:val="en-US"/>
        </w:rPr>
        <w:lastRenderedPageBreak/>
        <w:drawing>
          <wp:inline distT="0" distB="0" distL="0" distR="0" wp14:anchorId="2FF19B2D" wp14:editId="6A471149">
            <wp:extent cx="5522987" cy="1953772"/>
            <wp:effectExtent l="0" t="0" r="1905" b="8890"/>
            <wp:docPr id="3" name="Grafik 3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A screenshot of a video gam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987" cy="1953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DECD7" w14:textId="77777777" w:rsidR="00F83CEC" w:rsidRDefault="00F83CEC" w:rsidP="00F83CEC">
      <w:pPr>
        <w:rPr>
          <w:rFonts w:ascii="Times New Roman" w:hAnsi="Times New Roman" w:cs="Times New Roman"/>
          <w:b/>
          <w:bCs/>
          <w:sz w:val="25"/>
          <w:szCs w:val="25"/>
          <w:lang w:val="en-US"/>
        </w:rPr>
      </w:pPr>
    </w:p>
    <w:p w14:paraId="0103B021" w14:textId="77777777" w:rsidR="00F83CEC" w:rsidRPr="0081701D" w:rsidRDefault="00F83CEC" w:rsidP="00F83CEC">
      <w:pPr>
        <w:rPr>
          <w:rFonts w:ascii="Times New Roman" w:hAnsi="Times New Roman" w:cs="Times New Roman"/>
          <w:sz w:val="36"/>
          <w:lang w:val="en-US"/>
        </w:rPr>
      </w:pPr>
      <w:r w:rsidRPr="0081701D">
        <w:rPr>
          <w:rFonts w:ascii="Times New Roman" w:hAnsi="Times New Roman" w:cs="Times New Roman"/>
          <w:b/>
          <w:bCs/>
          <w:sz w:val="25"/>
          <w:szCs w:val="25"/>
          <w:lang w:val="en-US"/>
        </w:rPr>
        <w:t>Extended Data Fig.  8 | Domain structure of SlPLL2 and conserved phosphorylation sites in its regulatory N-terminus.</w:t>
      </w:r>
      <w:r w:rsidRPr="00277A10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Regulatory phosphorylation sites are mostly conser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v</w:t>
      </w:r>
      <w:r w:rsidRPr="00277A10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ed between 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 xml:space="preserve">tomato </w:t>
      </w:r>
      <w:r w:rsidRPr="00277A10">
        <w:rPr>
          <w:rFonts w:ascii="Times New Roman" w:hAnsi="Times New Roman" w:cs="Times New Roman"/>
          <w:bCs/>
          <w:sz w:val="25"/>
          <w:szCs w:val="25"/>
          <w:lang w:val="en-US"/>
        </w:rPr>
        <w:t>SlPLL2 and Arabidopsis PLL4/5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but differ in function</w:t>
      </w:r>
      <w:r w:rsidRPr="00277A10">
        <w:rPr>
          <w:rFonts w:ascii="Times New Roman" w:hAnsi="Times New Roman" w:cs="Times New Roman"/>
          <w:bCs/>
          <w:sz w:val="25"/>
          <w:szCs w:val="25"/>
          <w:lang w:val="en-US"/>
        </w:rPr>
        <w:t>.</w:t>
      </w:r>
      <w:r w:rsidRPr="0081701D"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5"/>
          <w:szCs w:val="25"/>
          <w:shd w:val="clear" w:color="auto" w:fill="FFFFFF"/>
          <w:lang w:val="en-US"/>
        </w:rPr>
        <w:t>The s</w:t>
      </w:r>
      <w:r w:rsidRPr="009A42E7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equence alignment 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shows seven</w:t>
      </w:r>
      <w:r w:rsidRPr="009A42E7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p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redicted</w:t>
      </w:r>
      <w:r w:rsidRPr="009A42E7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phosphorylation site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s</w:t>
      </w:r>
      <w:r w:rsidRPr="009A42E7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in the SXXL/I seque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nce</w:t>
      </w:r>
      <w:r w:rsidRPr="009A42E7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context 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(green) in the N-terminal regulatory domain of PLLs</w:t>
      </w:r>
      <w:r w:rsidRPr="009A42E7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. 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Six of these sites (mutated en block) were shown to be important for the AtPLL4/5 mediated inhibition of pattern-triggered immunity</w:t>
      </w:r>
      <w:r w:rsidRPr="0039155F">
        <w:rPr>
          <w:rFonts w:ascii="Times New Roman" w:hAnsi="Times New Roman" w:cs="Times New Roman"/>
          <w:bCs/>
          <w:noProof/>
          <w:sz w:val="25"/>
          <w:szCs w:val="25"/>
          <w:vertAlign w:val="superscript"/>
          <w:lang w:val="en-US"/>
        </w:rPr>
        <w:t>27</w:t>
      </w:r>
      <w:r>
        <w:rPr>
          <w:rFonts w:ascii="Times New Roman" w:hAnsi="Times New Roman" w:cs="Times New Roman"/>
          <w:bCs/>
          <w:sz w:val="25"/>
          <w:szCs w:val="25"/>
          <w:lang w:val="en-US"/>
        </w:rPr>
        <w:t>. Three of these sites, Ser142, Ser 151 and Ser 160 of SlPLL2, were found here to regulate SlPPL2 activity for the activation of herbivore defense signaling</w:t>
      </w:r>
      <w:r w:rsidRPr="00D95727">
        <w:rPr>
          <w:rFonts w:ascii="Times New Roman" w:hAnsi="Times New Roman" w:cs="Times New Roman"/>
          <w:sz w:val="25"/>
          <w:szCs w:val="25"/>
          <w:shd w:val="clear" w:color="auto" w:fill="FFFFFF"/>
        </w:rPr>
        <w:t>.</w:t>
      </w:r>
    </w:p>
    <w:p w14:paraId="05888210" w14:textId="77777777" w:rsidR="00F83CEC" w:rsidRDefault="00F83CEC" w:rsidP="00F83CEC"/>
    <w:p w14:paraId="6F3843BE" w14:textId="77777777" w:rsidR="00F553FF" w:rsidRDefault="00F553FF"/>
    <w:sectPr w:rsidR="00F553FF" w:rsidSect="00F83C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5672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2105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CEC"/>
    <w:rsid w:val="003C2EF4"/>
    <w:rsid w:val="00B74216"/>
    <w:rsid w:val="00D62F8C"/>
    <w:rsid w:val="00ED4C41"/>
    <w:rsid w:val="00F553FF"/>
    <w:rsid w:val="00F8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76F80"/>
  <w15:chartTrackingRefBased/>
  <w15:docId w15:val="{4E0504F8-655A-49A6-AB1F-8CC8EA5D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CEC"/>
    <w:rPr>
      <w:rFonts w:eastAsia="SimSun"/>
      <w:kern w:val="0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3C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C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C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C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C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C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C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C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C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C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C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C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C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C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C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C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C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C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C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3C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C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3C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C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3C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C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3C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C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C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CEC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F83CEC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1020</Words>
  <Characters>5815</Characters>
  <Application>Microsoft Office Word</Application>
  <DocSecurity>0</DocSecurity>
  <Lines>48</Lines>
  <Paragraphs>13</Paragraphs>
  <ScaleCrop>false</ScaleCrop>
  <Company>Springer Nature</Company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2024-10-24T04:52:00Z</dcterms:created>
  <dcterms:modified xsi:type="dcterms:W3CDTF">2024-10-24T04:53:00Z</dcterms:modified>
</cp:coreProperties>
</file>