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E8" w:rsidRPr="00C441CF" w:rsidRDefault="006E1AE8" w:rsidP="006E1AE8">
      <w:pPr>
        <w:jc w:val="both"/>
        <w:rPr>
          <w:b/>
          <w:bCs/>
          <w:lang w:val="it-IT"/>
        </w:rPr>
      </w:pPr>
      <w:proofErr w:type="spellStart"/>
      <w:r w:rsidRPr="00C441CF">
        <w:rPr>
          <w:b/>
          <w:bCs/>
          <w:lang w:val="it-IT"/>
        </w:rPr>
        <w:t>Supporting</w:t>
      </w:r>
      <w:proofErr w:type="spellEnd"/>
      <w:r w:rsidRPr="00C441CF">
        <w:rPr>
          <w:b/>
          <w:bCs/>
          <w:lang w:val="it-IT"/>
        </w:rPr>
        <w:t xml:space="preserve"> information (SI)</w:t>
      </w:r>
    </w:p>
    <w:p w:rsidR="006E1AE8" w:rsidRDefault="006E1AE8" w:rsidP="006E1AE8">
      <w:pPr>
        <w:jc w:val="both"/>
        <w:rPr>
          <w:lang w:val="en-US"/>
        </w:rPr>
      </w:pPr>
      <w:r w:rsidRPr="0034744D">
        <w:rPr>
          <w:lang w:val="it-IT"/>
        </w:rPr>
        <w:t xml:space="preserve">SI </w:t>
      </w:r>
      <w:proofErr w:type="spellStart"/>
      <w:r w:rsidRPr="0034744D">
        <w:rPr>
          <w:lang w:val="it-IT"/>
        </w:rPr>
        <w:t>table</w:t>
      </w:r>
      <w:proofErr w:type="spellEnd"/>
      <w:r w:rsidRPr="0034744D">
        <w:rPr>
          <w:lang w:val="it-IT"/>
        </w:rPr>
        <w:t xml:space="preserve"> 1. </w:t>
      </w:r>
      <w:r>
        <w:rPr>
          <w:lang w:val="en-US"/>
        </w:rPr>
        <w:t>M</w:t>
      </w:r>
      <w:r w:rsidRPr="00E03BB2">
        <w:rPr>
          <w:lang w:val="en-US"/>
        </w:rPr>
        <w:t>ultivariate Cox proportional-hazards model</w:t>
      </w:r>
      <w:r>
        <w:rPr>
          <w:lang w:val="en-US"/>
        </w:rPr>
        <w:t>s of the collagen turnover markers PRO-C8, C3M, PRO-C3, rec1M, PRO-C8 and CA19-9 as continuous variable to predict overall survival (OS) and progression-free survival (PFS)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891"/>
        <w:gridCol w:w="891"/>
        <w:gridCol w:w="892"/>
        <w:gridCol w:w="892"/>
        <w:gridCol w:w="149"/>
        <w:gridCol w:w="892"/>
        <w:gridCol w:w="892"/>
        <w:gridCol w:w="892"/>
        <w:gridCol w:w="892"/>
        <w:gridCol w:w="888"/>
      </w:tblGrid>
      <w:tr w:rsidR="006E1AE8" w:rsidRPr="007E2960" w:rsidTr="006E1AE8">
        <w:trPr>
          <w:trHeight w:val="621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Pro-C8 (OS)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 (OS)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1,092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1,080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RO</w:t>
            </w: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-C8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0,002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1,220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5475F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0,078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0,191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1,261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5475F6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5475F6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1,344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0,451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1,010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1,025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1,037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0,550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0,140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1,740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0,834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3,629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1,596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3,351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C3M (OS)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PRO</w:t>
            </w: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-C3 (OS)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1,089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1,079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1,464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1,411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0,844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0,446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1,017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0,883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1,032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1,012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1,531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3,200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2,285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5,027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C3M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0,001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1,070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RO</w:t>
            </w: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-C3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0,005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1,004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rec1M (OS)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PRO</w:t>
            </w: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-C8 (PFS)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P-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95,0% CI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for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hazard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ratio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  <w:proofErr w:type="spellEnd"/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&lt;0,001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1,112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Age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1,078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0,539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1,077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Gender (male 0,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1)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1,105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0,533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2,289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0,016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CA19-9 Baseline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0,387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1,014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height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1,014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0,878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1,029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Weight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0,863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1,034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CEA at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baseline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0,617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0,999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1,001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0,190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1,648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3,478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M </w:t>
            </w:r>
            <w:proofErr w:type="spellStart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status</w:t>
            </w:r>
            <w:proofErr w:type="spellEnd"/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1,591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0,725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3,494</w:t>
            </w:r>
          </w:p>
        </w:tc>
      </w:tr>
      <w:tr w:rsidR="006E1AE8" w:rsidRPr="007E2960" w:rsidTr="006E1AE8">
        <w:trPr>
          <w:trHeight w:val="621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re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C</w:t>
            </w: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1M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0,034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1,013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RO</w:t>
            </w: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-C8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0,022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1,012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AE8" w:rsidRPr="007E2960" w:rsidRDefault="006E1AE8" w:rsidP="00456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7E296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1,176</w:t>
            </w:r>
          </w:p>
        </w:tc>
      </w:tr>
    </w:tbl>
    <w:p w:rsidR="006E1AE8" w:rsidRPr="006E1AE8" w:rsidRDefault="006E1AE8" w:rsidP="006E1AE8">
      <w:pPr>
        <w:jc w:val="both"/>
        <w:rPr>
          <w:b/>
          <w:lang w:val="en-US"/>
        </w:rPr>
      </w:pPr>
    </w:p>
    <w:p w:rsidR="006E1AE8" w:rsidRDefault="006E1AE8" w:rsidP="006E1AE8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84CFDA6" wp14:editId="1CABA073">
            <wp:extent cx="5593668" cy="3779168"/>
            <wp:effectExtent l="0" t="0" r="0" b="0"/>
            <wp:docPr id="398795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41" cy="3795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AE8" w:rsidRDefault="006E1AE8" w:rsidP="006E1AE8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3718C4" wp14:editId="7FBE11DB">
            <wp:extent cx="5565600" cy="3780000"/>
            <wp:effectExtent l="0" t="0" r="0" b="0"/>
            <wp:docPr id="12388067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600" cy="37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AE8" w:rsidRDefault="006E1AE8" w:rsidP="006E1AE8">
      <w:pPr>
        <w:jc w:val="both"/>
        <w:rPr>
          <w:lang w:val="en-US"/>
        </w:rPr>
      </w:pPr>
      <w:r>
        <w:rPr>
          <w:lang w:val="en-US"/>
        </w:rPr>
        <w:t xml:space="preserve">SI figure 1. </w:t>
      </w:r>
      <w:r w:rsidRPr="005C5422">
        <w:rPr>
          <w:lang w:val="en-US"/>
        </w:rPr>
        <w:t>Kaplan-Meier survival plots</w:t>
      </w:r>
      <w:r>
        <w:rPr>
          <w:lang w:val="en-US"/>
        </w:rPr>
        <w:t xml:space="preserve"> of patients with biliary tract cancer (BTC) who responded to chemotherapy with a </w:t>
      </w:r>
      <w:r>
        <w:rPr>
          <w:rFonts w:cstheme="minorHAnsi"/>
          <w:lang w:val="en-US"/>
        </w:rPr>
        <w:t>≤</w:t>
      </w:r>
      <w:r>
        <w:rPr>
          <w:lang w:val="en-US"/>
        </w:rPr>
        <w:t xml:space="preserve">20 % reduction of biomarker levels after first chemotherapy compared to baseline versus non-responders. </w:t>
      </w:r>
    </w:p>
    <w:p w:rsidR="00267FD8" w:rsidRDefault="00267FD8" w:rsidP="006E1AE8"/>
    <w:p w:rsidR="006E1AE8" w:rsidRDefault="006E1AE8" w:rsidP="006E1AE8">
      <w:bookmarkStart w:id="0" w:name="_GoBack"/>
      <w:bookmarkEnd w:id="0"/>
    </w:p>
    <w:sectPr w:rsidR="006E1A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E8"/>
    <w:rsid w:val="00267FD8"/>
    <w:rsid w:val="00392697"/>
    <w:rsid w:val="006E1AE8"/>
    <w:rsid w:val="00A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F533E-9D83-4BEF-ABAD-B64B667C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1AE8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1AE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des Saarlandes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Kaps, Leonard Dr.</dc:creator>
  <cp:keywords/>
  <dc:description/>
  <cp:lastModifiedBy>Kaps, Leonard Dr.</cp:lastModifiedBy>
  <cp:revision>3</cp:revision>
  <dcterms:created xsi:type="dcterms:W3CDTF">2024-08-10T16:45:00Z</dcterms:created>
  <dcterms:modified xsi:type="dcterms:W3CDTF">2024-08-10T16:56:00Z</dcterms:modified>
</cp:coreProperties>
</file>