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5160" w:rsidRPr="00C90B26" w:rsidRDefault="00765160" w:rsidP="00765160">
      <w:pPr>
        <w:spacing w:after="240" w:line="480" w:lineRule="auto"/>
        <w:jc w:val="center"/>
        <w:rPr>
          <w:rFonts w:ascii="Cambria" w:eastAsia="Times New Roman" w:hAnsi="Cambria" w:cstheme="minorBidi"/>
          <w:bCs/>
          <w:color w:val="000000"/>
          <w:sz w:val="28"/>
          <w:szCs w:val="28"/>
          <w:lang w:eastAsia="nl-NL"/>
        </w:rPr>
      </w:pPr>
      <w:r w:rsidRPr="00C90B26">
        <w:rPr>
          <w:rFonts w:ascii="Cambria" w:eastAsia="Times New Roman" w:hAnsi="Cambria"/>
          <w:bCs/>
          <w:color w:val="000000"/>
          <w:sz w:val="28"/>
          <w:szCs w:val="28"/>
          <w:lang w:eastAsia="nl-NL"/>
        </w:rPr>
        <w:t>ADDITIONAL FILES</w:t>
      </w:r>
    </w:p>
    <w:p w:rsidR="00765160" w:rsidRDefault="00765160" w:rsidP="00765160">
      <w:pPr>
        <w:spacing w:line="480" w:lineRule="auto"/>
        <w:contextualSpacing/>
        <w:rPr>
          <w:rFonts w:ascii="Cambria" w:hAnsi="Cambria"/>
        </w:rPr>
      </w:pPr>
      <w:r w:rsidRPr="00C90B26">
        <w:rPr>
          <w:rFonts w:ascii="Cambria" w:hAnsi="Cambria"/>
        </w:rPr>
        <w:t>*Supplementary_Table_1.xlsx</w:t>
      </w:r>
      <w:r>
        <w:rPr>
          <w:rFonts w:ascii="Cambria" w:hAnsi="Cambria"/>
        </w:rPr>
        <w:t>:</w:t>
      </w:r>
    </w:p>
    <w:p w:rsidR="00765160" w:rsidRPr="00706C87" w:rsidRDefault="00765160" w:rsidP="00765160">
      <w:pPr>
        <w:spacing w:after="240" w:line="480" w:lineRule="auto"/>
        <w:rPr>
          <w:rFonts w:ascii="Cambria" w:hAnsi="Cambria"/>
          <w:b/>
        </w:rPr>
      </w:pPr>
      <w:r w:rsidRPr="00EE6EBF">
        <w:rPr>
          <w:rFonts w:ascii="Cambria" w:hAnsi="Cambria"/>
          <w:b/>
        </w:rPr>
        <w:t xml:space="preserve">Supplementary Table 1: </w:t>
      </w:r>
      <w:r>
        <w:rPr>
          <w:rFonts w:ascii="Cambria" w:hAnsi="Cambria"/>
          <w:b/>
        </w:rPr>
        <w:t>P</w:t>
      </w:r>
      <w:r w:rsidRPr="00EE6EBF">
        <w:rPr>
          <w:rFonts w:ascii="Cambria" w:hAnsi="Cambria"/>
          <w:b/>
        </w:rPr>
        <w:t>atient questionnaire outcome</w:t>
      </w:r>
      <w:r>
        <w:rPr>
          <w:rFonts w:ascii="Cambria" w:hAnsi="Cambria"/>
          <w:b/>
        </w:rPr>
        <w:t xml:space="preserve">. </w:t>
      </w:r>
      <w:r>
        <w:rPr>
          <w:rFonts w:ascii="Cambria" w:hAnsi="Cambria"/>
        </w:rPr>
        <w:t xml:space="preserve">Translation of the questionnaire and descriptive statistics for each question.  </w:t>
      </w:r>
    </w:p>
    <w:p w:rsidR="00765160" w:rsidRPr="00B82D00" w:rsidRDefault="00765160" w:rsidP="00765160">
      <w:pPr>
        <w:spacing w:line="480" w:lineRule="auto"/>
        <w:contextualSpacing/>
        <w:rPr>
          <w:rFonts w:ascii="Cambria" w:hAnsi="Cambria"/>
          <w:b/>
        </w:rPr>
      </w:pPr>
      <w:r w:rsidRPr="00C90B26">
        <w:rPr>
          <w:rFonts w:ascii="Cambria" w:hAnsi="Cambria"/>
        </w:rPr>
        <w:t>*Supplementary_Table_</w:t>
      </w:r>
      <w:r>
        <w:rPr>
          <w:rFonts w:ascii="Cambria" w:hAnsi="Cambria"/>
        </w:rPr>
        <w:t>2</w:t>
      </w:r>
      <w:r w:rsidRPr="00C90B26">
        <w:rPr>
          <w:rFonts w:ascii="Cambria" w:hAnsi="Cambria"/>
        </w:rPr>
        <w:t>.xlsx</w:t>
      </w:r>
      <w:r>
        <w:rPr>
          <w:rFonts w:ascii="Cambria" w:hAnsi="Cambria"/>
        </w:rPr>
        <w:t>:</w:t>
      </w:r>
    </w:p>
    <w:p w:rsidR="00765160" w:rsidRPr="00FD4543" w:rsidRDefault="00765160" w:rsidP="00765160">
      <w:pPr>
        <w:spacing w:after="240" w:line="480" w:lineRule="auto"/>
        <w:rPr>
          <w:rFonts w:ascii="Cambria" w:eastAsia="Times New Roman" w:hAnsi="Cambria"/>
          <w:bCs/>
          <w:color w:val="000000"/>
          <w:sz w:val="28"/>
          <w:szCs w:val="28"/>
          <w:lang w:eastAsia="nl-NL"/>
        </w:rPr>
      </w:pPr>
      <w:r w:rsidRPr="00EE6EBF">
        <w:rPr>
          <w:rFonts w:ascii="Cambria" w:hAnsi="Cambria"/>
          <w:b/>
        </w:rPr>
        <w:t xml:space="preserve">Supplementary Table 2: </w:t>
      </w:r>
      <w:r>
        <w:rPr>
          <w:rFonts w:ascii="Cambria" w:hAnsi="Cambria"/>
          <w:b/>
        </w:rPr>
        <w:t>I</w:t>
      </w:r>
      <w:r w:rsidRPr="00EE6EBF">
        <w:rPr>
          <w:rFonts w:ascii="Cambria" w:hAnsi="Cambria"/>
          <w:b/>
        </w:rPr>
        <w:t>nterview outcome</w:t>
      </w:r>
      <w:r>
        <w:rPr>
          <w:rFonts w:ascii="Cambria" w:hAnsi="Cambria"/>
          <w:b/>
        </w:rPr>
        <w:t xml:space="preserve">. </w:t>
      </w:r>
      <w:r>
        <w:rPr>
          <w:rFonts w:ascii="Cambria" w:hAnsi="Cambria"/>
        </w:rPr>
        <w:t xml:space="preserve">Translation of the interview and descriptive statistics for each question. </w:t>
      </w:r>
    </w:p>
    <w:p w:rsidR="00765160" w:rsidRPr="00912EE4" w:rsidRDefault="00765160" w:rsidP="00765160">
      <w:pPr>
        <w:spacing w:line="480" w:lineRule="auto"/>
        <w:contextualSpacing/>
        <w:jc w:val="center"/>
        <w:rPr>
          <w:rFonts w:ascii="Cambria" w:hAnsi="Cambria"/>
        </w:rPr>
      </w:pPr>
    </w:p>
    <w:p w:rsidR="00765160" w:rsidRPr="00FD4543" w:rsidRDefault="00765160" w:rsidP="00765160">
      <w:pPr>
        <w:spacing w:line="480" w:lineRule="auto"/>
        <w:contextualSpacing/>
        <w:jc w:val="center"/>
        <w:rPr>
          <w:rFonts w:ascii="Cambria" w:hAnsi="Cambria"/>
        </w:rPr>
      </w:pPr>
      <w:r w:rsidRPr="00FB0567">
        <w:rPr>
          <w:rFonts w:ascii="Cambria" w:hAnsi="Cambria"/>
          <w:sz w:val="28"/>
          <w:szCs w:val="28"/>
        </w:rPr>
        <w:t>SUPPLEMENTARY METHODS</w:t>
      </w:r>
    </w:p>
    <w:p w:rsidR="00765160" w:rsidRDefault="00765160" w:rsidP="00765160">
      <w:pPr>
        <w:widowControl w:val="0"/>
        <w:autoSpaceDE w:val="0"/>
        <w:autoSpaceDN w:val="0"/>
        <w:adjustRightInd w:val="0"/>
        <w:spacing w:line="480" w:lineRule="auto"/>
        <w:jc w:val="both"/>
        <w:rPr>
          <w:rFonts w:ascii="Cambria" w:hAnsi="Cambria"/>
          <w:sz w:val="28"/>
          <w:szCs w:val="28"/>
        </w:rPr>
      </w:pPr>
    </w:p>
    <w:p w:rsidR="00765160" w:rsidRPr="00FB0567" w:rsidRDefault="00765160" w:rsidP="00765160">
      <w:pPr>
        <w:widowControl w:val="0"/>
        <w:autoSpaceDE w:val="0"/>
        <w:autoSpaceDN w:val="0"/>
        <w:adjustRightInd w:val="0"/>
        <w:spacing w:line="480" w:lineRule="auto"/>
        <w:jc w:val="both"/>
        <w:rPr>
          <w:rFonts w:ascii="Cambria" w:eastAsia="Times New Roman" w:hAnsi="Cambria"/>
          <w:b/>
          <w:bCs/>
          <w:color w:val="000000"/>
          <w:lang w:eastAsia="nl-NL"/>
        </w:rPr>
      </w:pPr>
      <w:r w:rsidRPr="00FB0567">
        <w:rPr>
          <w:rFonts w:ascii="Cambria" w:eastAsia="Times New Roman" w:hAnsi="Cambria"/>
          <w:b/>
          <w:bCs/>
          <w:color w:val="000000"/>
          <w:lang w:eastAsia="nl-NL"/>
        </w:rPr>
        <w:t>Statistical analyses</w:t>
      </w:r>
    </w:p>
    <w:p w:rsidR="00765160" w:rsidRPr="00FB0567" w:rsidRDefault="00765160" w:rsidP="00765160">
      <w:pPr>
        <w:spacing w:after="120" w:line="480" w:lineRule="auto"/>
        <w:jc w:val="both"/>
        <w:rPr>
          <w:rFonts w:ascii="Cambria" w:eastAsia="Times New Roman" w:hAnsi="Cambria"/>
          <w:bCs/>
          <w:color w:val="000000"/>
          <w:lang w:eastAsia="nl-NL"/>
        </w:rPr>
      </w:pPr>
      <w:r w:rsidRPr="00FB0567">
        <w:rPr>
          <w:rFonts w:ascii="Cambria" w:eastAsia="Times New Roman" w:hAnsi="Cambria"/>
          <w:bCs/>
          <w:color w:val="000000"/>
          <w:lang w:eastAsia="nl-NL"/>
        </w:rPr>
        <w:t>Descriptive statistics were determined for each question using R</w:t>
      </w:r>
      <w:r w:rsidRPr="00FB0567">
        <w:rPr>
          <w:rFonts w:ascii="Cambria" w:eastAsia="Times New Roman" w:hAnsi="Cambria"/>
          <w:bCs/>
          <w:color w:val="000000"/>
          <w:vertAlign w:val="superscript"/>
          <w:lang w:eastAsia="nl-NL"/>
        </w:rPr>
        <w:t>14</w:t>
      </w:r>
      <w:r w:rsidRPr="00FB0567">
        <w:rPr>
          <w:rFonts w:ascii="Cambria" w:eastAsia="Times New Roman" w:hAnsi="Cambria"/>
          <w:bCs/>
          <w:color w:val="000000"/>
          <w:lang w:eastAsia="nl-NL"/>
        </w:rPr>
        <w:t xml:space="preserve"> (</w:t>
      </w:r>
      <w:r w:rsidRPr="00FB0567">
        <w:rPr>
          <w:rFonts w:ascii="Cambria" w:eastAsia="Times New Roman" w:hAnsi="Cambria"/>
          <w:b/>
          <w:bCs/>
          <w:color w:val="000000"/>
          <w:lang w:eastAsia="nl-NL"/>
        </w:rPr>
        <w:t>Supplementary Table 1</w:t>
      </w:r>
      <w:r w:rsidRPr="00FB0567">
        <w:rPr>
          <w:rFonts w:ascii="Cambria" w:eastAsia="Times New Roman" w:hAnsi="Cambria"/>
          <w:bCs/>
          <w:color w:val="000000"/>
          <w:lang w:eastAsia="nl-NL"/>
        </w:rPr>
        <w:t xml:space="preserve">). Chi-Square tests and Fisher’s exact tests were performed to determine statistically significant differences between counts. The following five associations were calculated: </w:t>
      </w:r>
    </w:p>
    <w:p w:rsidR="00765160" w:rsidRPr="00FB0567" w:rsidRDefault="00765160" w:rsidP="00765160">
      <w:pPr>
        <w:pStyle w:val="ListParagraph"/>
        <w:numPr>
          <w:ilvl w:val="0"/>
          <w:numId w:val="1"/>
        </w:numPr>
        <w:spacing w:after="120" w:line="480" w:lineRule="auto"/>
        <w:jc w:val="both"/>
        <w:rPr>
          <w:rFonts w:ascii="Cambria" w:eastAsia="Times New Roman" w:hAnsi="Cambria" w:cs="Times New Roman"/>
          <w:bCs/>
          <w:color w:val="000000"/>
          <w:sz w:val="24"/>
          <w:szCs w:val="24"/>
          <w:lang w:val="en-GB" w:eastAsia="nl-NL"/>
        </w:rPr>
      </w:pPr>
      <w:r w:rsidRPr="00FB0567">
        <w:rPr>
          <w:rFonts w:ascii="Cambria" w:eastAsia="Times New Roman" w:hAnsi="Cambria" w:cs="Times New Roman"/>
          <w:bCs/>
          <w:color w:val="000000"/>
          <w:sz w:val="24"/>
          <w:szCs w:val="24"/>
          <w:u w:val="single"/>
          <w:lang w:val="en-GB" w:eastAsia="nl-NL"/>
        </w:rPr>
        <w:t>Willingness to collect faecal samples for future screening and care vs. GI-disease (Fisher’s exact test):</w:t>
      </w:r>
      <w:r w:rsidRPr="00FB0567">
        <w:rPr>
          <w:rFonts w:ascii="Cambria" w:eastAsia="Times New Roman" w:hAnsi="Cambria" w:cs="Times New Roman"/>
          <w:bCs/>
          <w:color w:val="000000"/>
          <w:sz w:val="24"/>
          <w:szCs w:val="24"/>
          <w:lang w:val="en-GB" w:eastAsia="nl-NL"/>
        </w:rPr>
        <w:t xml:space="preserve"> (Q36 answer A (willing to both collect and freeze) + Q36 answer B (willing to collect but not freeze)) vs. not willing to collect faecal samples for future screening and care (Q36 answer C (neither willing to collect nor freeze), between patients of the gastrointestinal disease cohorts (IBD-Willing + IBD Unwilling + Participants without an Identification number) and patients not affected by a gastrointestinal disorder (SLE + Sjögren + Oncology + No Identification number). </w:t>
      </w:r>
    </w:p>
    <w:p w:rsidR="00765160" w:rsidRPr="00FB0567" w:rsidRDefault="00765160" w:rsidP="00765160">
      <w:pPr>
        <w:pStyle w:val="ListParagraph"/>
        <w:numPr>
          <w:ilvl w:val="0"/>
          <w:numId w:val="1"/>
        </w:numPr>
        <w:spacing w:after="120" w:line="480" w:lineRule="auto"/>
        <w:jc w:val="both"/>
        <w:rPr>
          <w:rFonts w:ascii="Cambria" w:eastAsia="Times New Roman" w:hAnsi="Cambria" w:cs="Times New Roman"/>
          <w:bCs/>
          <w:color w:val="000000"/>
          <w:sz w:val="24"/>
          <w:szCs w:val="24"/>
          <w:lang w:val="en-GB" w:eastAsia="nl-NL"/>
        </w:rPr>
      </w:pPr>
      <w:r w:rsidRPr="00FB0567">
        <w:rPr>
          <w:rFonts w:ascii="Cambria" w:eastAsia="Times New Roman" w:hAnsi="Cambria" w:cs="Times New Roman"/>
          <w:bCs/>
          <w:color w:val="000000"/>
          <w:sz w:val="24"/>
          <w:szCs w:val="24"/>
          <w:u w:val="single"/>
          <w:lang w:val="en-GB" w:eastAsia="nl-NL"/>
        </w:rPr>
        <w:lastRenderedPageBreak/>
        <w:t>Willingness to collect faecal samples for future screening and care vs. Home situation (Fisher’s exact test):</w:t>
      </w:r>
      <w:r w:rsidRPr="00FB0567">
        <w:rPr>
          <w:rFonts w:ascii="Cambria" w:eastAsia="Times New Roman" w:hAnsi="Cambria" w:cs="Times New Roman"/>
          <w:bCs/>
          <w:color w:val="000000"/>
          <w:sz w:val="24"/>
          <w:szCs w:val="24"/>
          <w:lang w:val="en-GB" w:eastAsia="nl-NL"/>
        </w:rPr>
        <w:t xml:space="preserve"> Patients living alone (Q4 answer A (living alone) vs. Patients living with cohabitants (Q4 answer B (with partner) + Q4 answer C (with partner and child), + Q4 answer D (only with child) + Q4 answer E (with parents) + Q4 answer F (with roommates)).  </w:t>
      </w:r>
    </w:p>
    <w:p w:rsidR="00765160" w:rsidRPr="00FB0567" w:rsidRDefault="00765160" w:rsidP="00765160">
      <w:pPr>
        <w:pStyle w:val="ListParagraph"/>
        <w:numPr>
          <w:ilvl w:val="0"/>
          <w:numId w:val="1"/>
        </w:numPr>
        <w:spacing w:after="120" w:line="480" w:lineRule="auto"/>
        <w:jc w:val="both"/>
        <w:rPr>
          <w:rFonts w:ascii="Cambria" w:eastAsia="Times New Roman" w:hAnsi="Cambria" w:cs="Times New Roman"/>
          <w:bCs/>
          <w:color w:val="000000"/>
          <w:sz w:val="24"/>
          <w:szCs w:val="24"/>
          <w:lang w:val="en-GB" w:eastAsia="nl-NL"/>
        </w:rPr>
      </w:pPr>
      <w:r w:rsidRPr="00FB0567">
        <w:rPr>
          <w:rFonts w:ascii="Cambria" w:eastAsia="Times New Roman" w:hAnsi="Cambria" w:cs="Times New Roman"/>
          <w:bCs/>
          <w:color w:val="000000"/>
          <w:sz w:val="24"/>
          <w:szCs w:val="24"/>
          <w:u w:val="single"/>
          <w:lang w:val="en-GB" w:eastAsia="nl-NL"/>
        </w:rPr>
        <w:t>Willingness to collect faecal samples for future screening and care vs. Clarity of the instruction manual (Fisher’s exact test):</w:t>
      </w:r>
      <w:r w:rsidRPr="00FB0567">
        <w:rPr>
          <w:rFonts w:ascii="Cambria" w:eastAsia="Times New Roman" w:hAnsi="Cambria" w:cs="Times New Roman"/>
          <w:bCs/>
          <w:color w:val="000000"/>
          <w:sz w:val="24"/>
          <w:szCs w:val="24"/>
          <w:lang w:val="en-GB" w:eastAsia="nl-NL"/>
        </w:rPr>
        <w:t xml:space="preserve"> Clarity of the instruction manual (Q17 answer A (very clear) vs. Q17 answer B (clear) vs. Q17 answer C (neither clear nor unclear) vs. Q17 answer D (unclear) vs. Q17 answer E (very unclear).</w:t>
      </w:r>
    </w:p>
    <w:p w:rsidR="00765160" w:rsidRPr="00FB0567" w:rsidRDefault="00765160" w:rsidP="00765160">
      <w:pPr>
        <w:pStyle w:val="ListParagraph"/>
        <w:numPr>
          <w:ilvl w:val="0"/>
          <w:numId w:val="1"/>
        </w:numPr>
        <w:spacing w:after="120" w:line="480" w:lineRule="auto"/>
        <w:jc w:val="both"/>
        <w:rPr>
          <w:rFonts w:ascii="Cambria" w:eastAsia="Times New Roman" w:hAnsi="Cambria" w:cs="Times New Roman"/>
          <w:bCs/>
          <w:color w:val="000000"/>
          <w:sz w:val="24"/>
          <w:szCs w:val="24"/>
          <w:lang w:val="en-GB" w:eastAsia="nl-NL"/>
        </w:rPr>
      </w:pPr>
      <w:r w:rsidRPr="00FB0567">
        <w:rPr>
          <w:rFonts w:ascii="Cambria" w:eastAsia="Times New Roman" w:hAnsi="Cambria" w:cs="Times New Roman"/>
          <w:bCs/>
          <w:color w:val="000000"/>
          <w:sz w:val="24"/>
          <w:szCs w:val="24"/>
          <w:u w:val="single"/>
          <w:lang w:val="en-GB" w:eastAsia="nl-NL"/>
        </w:rPr>
        <w:t>Willingness to collect faecal samples for future screening and care vs. Clarity of oral instruction (Fisher’s exact test):</w:t>
      </w:r>
      <w:r w:rsidRPr="00FB0567">
        <w:rPr>
          <w:rFonts w:ascii="Cambria" w:eastAsia="Times New Roman" w:hAnsi="Cambria" w:cs="Times New Roman"/>
          <w:bCs/>
          <w:color w:val="000000"/>
          <w:sz w:val="24"/>
          <w:szCs w:val="24"/>
          <w:lang w:val="en-GB" w:eastAsia="nl-NL"/>
        </w:rPr>
        <w:t xml:space="preserve"> Q16 with same answer options as Q17.</w:t>
      </w:r>
    </w:p>
    <w:p w:rsidR="00765160" w:rsidRPr="00FB0567" w:rsidRDefault="00765160" w:rsidP="00765160">
      <w:pPr>
        <w:pStyle w:val="ListParagraph"/>
        <w:numPr>
          <w:ilvl w:val="0"/>
          <w:numId w:val="1"/>
        </w:numPr>
        <w:spacing w:after="120" w:line="480" w:lineRule="auto"/>
        <w:jc w:val="both"/>
        <w:rPr>
          <w:rFonts w:ascii="Cambria" w:eastAsia="Times New Roman" w:hAnsi="Cambria" w:cs="Times New Roman"/>
          <w:bCs/>
          <w:color w:val="000000"/>
          <w:sz w:val="24"/>
          <w:szCs w:val="24"/>
          <w:lang w:val="en-GB" w:eastAsia="nl-NL"/>
        </w:rPr>
      </w:pPr>
      <w:r w:rsidRPr="00FB0567">
        <w:rPr>
          <w:rFonts w:ascii="Cambria" w:eastAsia="Times New Roman" w:hAnsi="Cambria" w:cs="Times New Roman"/>
          <w:bCs/>
          <w:color w:val="000000"/>
          <w:sz w:val="24"/>
          <w:szCs w:val="24"/>
          <w:u w:val="single"/>
          <w:lang w:val="en-GB" w:eastAsia="nl-NL"/>
        </w:rPr>
        <w:t>Willingness to store faecal samples in the home freezer for future screening and care vs. Knowing the purpose of freezing the samples (Chi-Square test of independence with Yate’s continuity correction):</w:t>
      </w:r>
      <w:r w:rsidRPr="00FB0567">
        <w:rPr>
          <w:rFonts w:ascii="Cambria" w:eastAsia="Times New Roman" w:hAnsi="Cambria" w:cs="Times New Roman"/>
          <w:bCs/>
          <w:color w:val="000000"/>
          <w:sz w:val="24"/>
          <w:szCs w:val="24"/>
          <w:lang w:val="en-GB" w:eastAsia="nl-NL"/>
        </w:rPr>
        <w:t xml:space="preserve"> Willingness to store faecal samples in the home freezer for future screening and care (Q36 answer A (willing to collect and freeze)) vs. not willing to store faecal samples in the home freezer for future screening and care (Q36 answer B (willing to collect but not freeze) + Q36 answer C (neither willing to collect nor freeze)); patients who know the purpose of freezing (Q33 answer A (know purpose of freezing)) and patients who do not know the purpose of freezing (Q33 answer B (did not know purpose of freezing)).</w:t>
      </w:r>
    </w:p>
    <w:p w:rsidR="00765160" w:rsidRDefault="00765160" w:rsidP="00765160">
      <w:pPr>
        <w:pStyle w:val="ListParagraph"/>
        <w:suppressLineNumbers/>
        <w:spacing w:after="120" w:line="480" w:lineRule="auto"/>
        <w:ind w:left="785"/>
        <w:jc w:val="both"/>
        <w:rPr>
          <w:rFonts w:ascii="Cambria" w:eastAsia="Times New Roman" w:hAnsi="Cambria" w:cs="Times New Roman"/>
          <w:bCs/>
          <w:color w:val="000000"/>
          <w:sz w:val="24"/>
          <w:szCs w:val="24"/>
          <w:lang w:val="en-GB" w:eastAsia="nl-NL"/>
        </w:rPr>
      </w:pPr>
    </w:p>
    <w:p w:rsidR="00765160" w:rsidRDefault="00765160" w:rsidP="00765160">
      <w:pPr>
        <w:pStyle w:val="ListParagraph"/>
        <w:suppressLineNumbers/>
        <w:spacing w:after="120" w:line="480" w:lineRule="auto"/>
        <w:ind w:left="785"/>
        <w:jc w:val="both"/>
        <w:rPr>
          <w:rFonts w:ascii="Cambria" w:eastAsia="Times New Roman" w:hAnsi="Cambria" w:cs="Times New Roman"/>
          <w:bCs/>
          <w:color w:val="000000"/>
          <w:sz w:val="24"/>
          <w:szCs w:val="24"/>
          <w:lang w:val="en-GB" w:eastAsia="nl-NL"/>
        </w:rPr>
      </w:pPr>
    </w:p>
    <w:p w:rsidR="00765160" w:rsidRDefault="00765160" w:rsidP="00765160">
      <w:pPr>
        <w:pStyle w:val="ListParagraph"/>
        <w:suppressLineNumbers/>
        <w:spacing w:after="120" w:line="480" w:lineRule="auto"/>
        <w:ind w:left="785"/>
        <w:jc w:val="both"/>
        <w:rPr>
          <w:rFonts w:ascii="Cambria" w:eastAsia="Times New Roman" w:hAnsi="Cambria" w:cs="Times New Roman"/>
          <w:bCs/>
          <w:color w:val="000000"/>
          <w:sz w:val="24"/>
          <w:szCs w:val="24"/>
          <w:lang w:val="en-GB" w:eastAsia="nl-NL"/>
        </w:rPr>
      </w:pPr>
    </w:p>
    <w:p w:rsidR="00765160" w:rsidRPr="00FB0567" w:rsidRDefault="00765160" w:rsidP="00765160">
      <w:pPr>
        <w:pStyle w:val="ListParagraph"/>
        <w:suppressLineNumbers/>
        <w:spacing w:after="120" w:line="480" w:lineRule="auto"/>
        <w:ind w:left="785"/>
        <w:jc w:val="both"/>
        <w:rPr>
          <w:rFonts w:ascii="Cambria" w:eastAsia="Times New Roman" w:hAnsi="Cambria" w:cs="Times New Roman"/>
          <w:bCs/>
          <w:color w:val="000000"/>
          <w:sz w:val="24"/>
          <w:szCs w:val="24"/>
          <w:lang w:val="en-GB" w:eastAsia="nl-NL"/>
        </w:rPr>
      </w:pPr>
    </w:p>
    <w:p w:rsidR="00765160" w:rsidRPr="00FB0567" w:rsidRDefault="00765160" w:rsidP="00765160">
      <w:pPr>
        <w:spacing w:after="120" w:line="480" w:lineRule="auto"/>
        <w:jc w:val="both"/>
        <w:rPr>
          <w:rFonts w:ascii="Cambria" w:eastAsia="Times New Roman" w:hAnsi="Cambria"/>
          <w:b/>
          <w:color w:val="000000"/>
          <w:shd w:val="clear" w:color="auto" w:fill="FDFDFD"/>
        </w:rPr>
      </w:pPr>
      <w:r w:rsidRPr="00FB0567">
        <w:rPr>
          <w:rFonts w:ascii="Cambria" w:eastAsia="Times New Roman" w:hAnsi="Cambria"/>
          <w:b/>
          <w:color w:val="000000"/>
          <w:shd w:val="clear" w:color="auto" w:fill="FDFDFD"/>
        </w:rPr>
        <w:lastRenderedPageBreak/>
        <w:t>Results of the Interview with Healthy Volunteers</w:t>
      </w:r>
    </w:p>
    <w:p w:rsidR="00765160" w:rsidRPr="00FB0567" w:rsidRDefault="00765160" w:rsidP="00765160">
      <w:pPr>
        <w:spacing w:after="120" w:line="480" w:lineRule="auto"/>
        <w:jc w:val="both"/>
        <w:rPr>
          <w:rFonts w:ascii="Cambria" w:eastAsia="Times New Roman" w:hAnsi="Cambria"/>
          <w:bCs/>
          <w:color w:val="000000"/>
          <w:vertAlign w:val="superscript"/>
          <w:lang w:eastAsia="nl-NL"/>
        </w:rPr>
      </w:pPr>
      <w:r w:rsidRPr="00FB0567">
        <w:rPr>
          <w:rFonts w:ascii="Cambria" w:eastAsia="Times New Roman" w:hAnsi="Cambria"/>
          <w:bCs/>
          <w:color w:val="000000"/>
          <w:lang w:eastAsia="nl-NL"/>
        </w:rPr>
        <w:t>Interviews were conducted between August 26</w:t>
      </w:r>
      <w:r w:rsidRPr="00FB0567">
        <w:rPr>
          <w:rFonts w:ascii="Cambria" w:eastAsia="Times New Roman" w:hAnsi="Cambria"/>
          <w:bCs/>
          <w:color w:val="000000"/>
          <w:vertAlign w:val="superscript"/>
          <w:lang w:eastAsia="nl-NL"/>
        </w:rPr>
        <w:t xml:space="preserve"> </w:t>
      </w:r>
      <w:r w:rsidRPr="00FB0567">
        <w:rPr>
          <w:rFonts w:ascii="Cambria" w:eastAsia="Times New Roman" w:hAnsi="Cambria"/>
          <w:bCs/>
          <w:color w:val="000000"/>
          <w:lang w:eastAsia="nl-NL"/>
        </w:rPr>
        <w:t xml:space="preserve">and November 11, 2015. Aggregated responses were provided to the authors. For the research in question, interviewees had been provided with five tubes to be filled with faecal matter. Most participants (473 of 478, 99.0%) were able to fill all tubes. Five participants failed to do so because it was either too inconvenient (n=1), they had cut the tube incorrectly (n=1), the pipette broke (n=1), the tube broke (n=1) or only three tubes were provided (n=1). Of these five participants, two wanted to retry and requested new material. Overall, nine participants (1.9%) viewed the faecal sample collection as “very inconvenient”, 25 (5.2%) as “slightly inconvenient”, 68 (14.2%) had a neutral attitude, 137 (28.7%) found it “not inconvenient”, and 238 (49.8%) viewed it as “not inconvenient at all".   </w:t>
      </w:r>
      <w:r w:rsidRPr="00FB0567">
        <w:t xml:space="preserve"> </w:t>
      </w:r>
    </w:p>
    <w:p w:rsidR="00765160" w:rsidRPr="00526CC2" w:rsidRDefault="00765160" w:rsidP="00765160">
      <w:pPr>
        <w:pStyle w:val="ListParagraph"/>
        <w:spacing w:after="120" w:line="480" w:lineRule="auto"/>
        <w:ind w:left="0"/>
        <w:jc w:val="both"/>
        <w:rPr>
          <w:rFonts w:ascii="Cambria" w:hAnsi="Cambria"/>
          <w:sz w:val="24"/>
          <w:szCs w:val="24"/>
          <w:lang w:val="en-GB"/>
        </w:rPr>
      </w:pPr>
      <w:r w:rsidRPr="00FB0567">
        <w:rPr>
          <w:rFonts w:ascii="Cambria" w:hAnsi="Cambria"/>
          <w:sz w:val="24"/>
          <w:szCs w:val="24"/>
          <w:lang w:val="en-GB"/>
        </w:rPr>
        <w:t xml:space="preserve">Most interviewees (457 of 478, 95.6%) indicated they would be willing to participate in similar research if asked again in future. Those who indicated that they would not like to participate again (17 of 478, 3.6%) reported that it was a hassle to fill all tubes (n=3), their partner found it inconvenient (n=1), they found it a distasteful procedure (n=2), or that it was too time consuming (n=1). The 10 participants who indicated they were not yet certain if they would participate in the future indicated their decision would depend on future circumstances related to time, work, and disease. </w:t>
      </w:r>
    </w:p>
    <w:p w:rsidR="00765160" w:rsidRDefault="00765160">
      <w:bookmarkStart w:id="0" w:name="_GoBack"/>
      <w:bookmarkEnd w:id="0"/>
    </w:p>
    <w:sectPr w:rsidR="00765160" w:rsidSect="00026597">
      <w:footerReference w:type="even" r:id="rId5"/>
      <w:footerReference w:type="default" r:id="rId6"/>
      <w:endnotePr>
        <w:numFmt w:val="decimal"/>
      </w:endnotePr>
      <w:pgSz w:w="11900" w:h="16840"/>
      <w:pgMar w:top="1440" w:right="1440" w:bottom="1361"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97241941"/>
      <w:docPartObj>
        <w:docPartGallery w:val="Page Numbers (Bottom of Page)"/>
        <w:docPartUnique/>
      </w:docPartObj>
    </w:sdtPr>
    <w:sdtEndPr>
      <w:rPr>
        <w:rStyle w:val="PageNumber"/>
      </w:rPr>
    </w:sdtEndPr>
    <w:sdtContent>
      <w:p w:rsidR="004F193C" w:rsidRDefault="00765160" w:rsidP="00B01D3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4F193C" w:rsidRDefault="00765160" w:rsidP="00D60FA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193C" w:rsidRDefault="00765160" w:rsidP="00B01D38">
    <w:pPr>
      <w:pStyle w:val="Footer"/>
      <w:framePr w:wrap="none" w:vAnchor="text" w:hAnchor="margin" w:xAlign="right" w:y="1"/>
      <w:rPr>
        <w:rStyle w:val="PageNumber"/>
      </w:rPr>
    </w:pPr>
  </w:p>
  <w:p w:rsidR="004F193C" w:rsidRPr="00754B8D" w:rsidRDefault="00765160" w:rsidP="000B6467">
    <w:pPr>
      <w:pStyle w:val="Footer"/>
      <w:jc w:val="right"/>
      <w:rPr>
        <w:rFonts w:ascii="Cambria" w:hAnsi="Cambria"/>
        <w:sz w:val="20"/>
        <w:szCs w:val="20"/>
      </w:rPr>
    </w:pPr>
    <w:r w:rsidRPr="000B6467">
      <w:rPr>
        <w:rFonts w:ascii="Cambria" w:hAnsi="Cambria"/>
        <w:sz w:val="20"/>
        <w:szCs w:val="20"/>
      </w:rPr>
      <w:t>Pag</w:t>
    </w:r>
    <w:r>
      <w:rPr>
        <w:rFonts w:ascii="Cambria" w:hAnsi="Cambria"/>
        <w:sz w:val="20"/>
        <w:szCs w:val="20"/>
      </w:rPr>
      <w:t>e</w:t>
    </w:r>
    <w:r w:rsidRPr="000B6467">
      <w:rPr>
        <w:rFonts w:ascii="Cambria" w:hAnsi="Cambria"/>
        <w:sz w:val="20"/>
        <w:szCs w:val="20"/>
      </w:rPr>
      <w:t xml:space="preserve"> </w:t>
    </w:r>
    <w:r w:rsidRPr="000B6467">
      <w:rPr>
        <w:rFonts w:ascii="Cambria" w:hAnsi="Cambria"/>
        <w:sz w:val="20"/>
        <w:szCs w:val="20"/>
      </w:rPr>
      <w:fldChar w:fldCharType="begin"/>
    </w:r>
    <w:r w:rsidRPr="000B6467">
      <w:rPr>
        <w:rFonts w:ascii="Cambria" w:hAnsi="Cambria"/>
        <w:sz w:val="20"/>
        <w:szCs w:val="20"/>
      </w:rPr>
      <w:instrText xml:space="preserve"> PAGE </w:instrText>
    </w:r>
    <w:r w:rsidRPr="000B6467">
      <w:rPr>
        <w:rFonts w:ascii="Cambria" w:hAnsi="Cambria"/>
        <w:sz w:val="20"/>
        <w:szCs w:val="20"/>
      </w:rPr>
      <w:fldChar w:fldCharType="separate"/>
    </w:r>
    <w:r>
      <w:rPr>
        <w:rFonts w:ascii="Cambria" w:hAnsi="Cambria"/>
        <w:noProof/>
        <w:sz w:val="20"/>
        <w:szCs w:val="20"/>
      </w:rPr>
      <w:t>27</w:t>
    </w:r>
    <w:r w:rsidRPr="000B6467">
      <w:rPr>
        <w:rFonts w:ascii="Cambria" w:hAnsi="Cambria"/>
        <w:sz w:val="20"/>
        <w:szCs w:val="20"/>
      </w:rPr>
      <w:fldChar w:fldCharType="end"/>
    </w:r>
    <w:r w:rsidRPr="000B6467">
      <w:rPr>
        <w:rFonts w:ascii="Cambria" w:hAnsi="Cambria"/>
        <w:sz w:val="20"/>
        <w:szCs w:val="20"/>
      </w:rPr>
      <w:t xml:space="preserve"> </w:t>
    </w:r>
    <w:r>
      <w:rPr>
        <w:rFonts w:ascii="Cambria" w:hAnsi="Cambria"/>
        <w:sz w:val="20"/>
        <w:szCs w:val="20"/>
      </w:rPr>
      <w:t>of</w:t>
    </w:r>
    <w:r w:rsidRPr="000B6467">
      <w:rPr>
        <w:rFonts w:ascii="Cambria" w:hAnsi="Cambria"/>
        <w:sz w:val="20"/>
        <w:szCs w:val="20"/>
      </w:rPr>
      <w:t xml:space="preserve"> </w:t>
    </w:r>
    <w:r w:rsidRPr="000B6467">
      <w:rPr>
        <w:rFonts w:ascii="Cambria" w:hAnsi="Cambria"/>
        <w:sz w:val="20"/>
        <w:szCs w:val="20"/>
      </w:rPr>
      <w:fldChar w:fldCharType="begin"/>
    </w:r>
    <w:r w:rsidRPr="000B6467">
      <w:rPr>
        <w:rFonts w:ascii="Cambria" w:hAnsi="Cambria"/>
        <w:sz w:val="20"/>
        <w:szCs w:val="20"/>
      </w:rPr>
      <w:instrText xml:space="preserve"> NUMPAGES </w:instrText>
    </w:r>
    <w:r w:rsidRPr="000B6467">
      <w:rPr>
        <w:rFonts w:ascii="Cambria" w:hAnsi="Cambria"/>
        <w:sz w:val="20"/>
        <w:szCs w:val="20"/>
      </w:rPr>
      <w:fldChar w:fldCharType="separate"/>
    </w:r>
    <w:r>
      <w:rPr>
        <w:rFonts w:ascii="Cambria" w:hAnsi="Cambria"/>
        <w:noProof/>
        <w:sz w:val="20"/>
        <w:szCs w:val="20"/>
      </w:rPr>
      <w:t>27</w:t>
    </w:r>
    <w:r w:rsidRPr="000B6467">
      <w:rPr>
        <w:rFonts w:ascii="Cambria" w:hAnsi="Cambria"/>
        <w:sz w:val="20"/>
        <w:szCs w:val="20"/>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B1723A"/>
    <w:multiLevelType w:val="hybridMultilevel"/>
    <w:tmpl w:val="1AB4CCE6"/>
    <w:lvl w:ilvl="0" w:tplc="251AA39E">
      <w:start w:val="1"/>
      <w:numFmt w:val="decimal"/>
      <w:lvlText w:val="%1)"/>
      <w:lvlJc w:val="left"/>
      <w:pPr>
        <w:ind w:left="785" w:hanging="360"/>
      </w:pPr>
      <w:rPr>
        <w:rFonts w:ascii="Cambria" w:eastAsia="Times New Roman" w:hAnsi="Cambria" w:cs="Times New Roman"/>
      </w:rPr>
    </w:lvl>
    <w:lvl w:ilvl="1" w:tplc="08090003">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160"/>
    <w:rsid w:val="007651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E42579-8593-4FC4-90AD-0B73308EE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65160"/>
    <w:pPr>
      <w:spacing w:after="0" w:line="240" w:lineRule="auto"/>
    </w:pPr>
    <w:rPr>
      <w:rFonts w:ascii="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5160"/>
    <w:pPr>
      <w:spacing w:after="160" w:line="259" w:lineRule="auto"/>
      <w:ind w:left="720"/>
      <w:contextualSpacing/>
    </w:pPr>
    <w:rPr>
      <w:rFonts w:asciiTheme="minorHAnsi" w:hAnsiTheme="minorHAnsi" w:cstheme="minorBidi"/>
      <w:sz w:val="22"/>
      <w:szCs w:val="22"/>
      <w:lang w:val="de-DE" w:eastAsia="en-US"/>
    </w:rPr>
  </w:style>
  <w:style w:type="paragraph" w:styleId="Footer">
    <w:name w:val="footer"/>
    <w:basedOn w:val="Normal"/>
    <w:link w:val="FooterChar"/>
    <w:uiPriority w:val="99"/>
    <w:unhideWhenUsed/>
    <w:rsid w:val="00765160"/>
    <w:pPr>
      <w:tabs>
        <w:tab w:val="center" w:pos="4680"/>
        <w:tab w:val="right" w:pos="9360"/>
      </w:tabs>
    </w:pPr>
  </w:style>
  <w:style w:type="character" w:customStyle="1" w:styleId="FooterChar">
    <w:name w:val="Footer Char"/>
    <w:basedOn w:val="DefaultParagraphFont"/>
    <w:link w:val="Footer"/>
    <w:uiPriority w:val="99"/>
    <w:rsid w:val="00765160"/>
    <w:rPr>
      <w:rFonts w:ascii="Times New Roman" w:hAnsi="Times New Roman" w:cs="Times New Roman"/>
      <w:sz w:val="24"/>
      <w:szCs w:val="24"/>
      <w:lang w:val="en-GB" w:eastAsia="en-GB"/>
    </w:rPr>
  </w:style>
  <w:style w:type="character" w:styleId="PageNumber">
    <w:name w:val="page number"/>
    <w:basedOn w:val="DefaultParagraphFont"/>
    <w:uiPriority w:val="99"/>
    <w:semiHidden/>
    <w:unhideWhenUsed/>
    <w:rsid w:val="00765160"/>
  </w:style>
  <w:style w:type="character" w:styleId="LineNumber">
    <w:name w:val="line number"/>
    <w:basedOn w:val="DefaultParagraphFont"/>
    <w:uiPriority w:val="99"/>
    <w:semiHidden/>
    <w:unhideWhenUsed/>
    <w:rsid w:val="007651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639</Words>
  <Characters>3645</Characters>
  <Application>Microsoft Office Word</Application>
  <DocSecurity>0</DocSecurity>
  <Lines>30</Lines>
  <Paragraphs>8</Paragraphs>
  <ScaleCrop>false</ScaleCrop>
  <Company/>
  <LinksUpToDate>false</LinksUpToDate>
  <CharactersWithSpaces>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Caty Waterfield</dc:creator>
  <cp:keywords/>
  <dc:description/>
  <cp:lastModifiedBy>Caty Waterfield</cp:lastModifiedBy>
  <cp:revision>1</cp:revision>
  <dcterms:created xsi:type="dcterms:W3CDTF">2019-09-07T18:01:00Z</dcterms:created>
  <dcterms:modified xsi:type="dcterms:W3CDTF">2019-09-07T18:01:00Z</dcterms:modified>
</cp:coreProperties>
</file>