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08" w:tblpY="1865"/>
        <w:tblOverlap w:val="never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06"/>
        <w:gridCol w:w="782"/>
        <w:gridCol w:w="1400"/>
        <w:gridCol w:w="787"/>
        <w:gridCol w:w="1481"/>
        <w:gridCol w:w="775"/>
        <w:gridCol w:w="1469"/>
        <w:gridCol w:w="776"/>
      </w:tblGrid>
      <w:tr w14:paraId="569B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restart"/>
          </w:tcPr>
          <w:p w14:paraId="4DE2A736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188" w:type="dxa"/>
            <w:gridSpan w:val="2"/>
          </w:tcPr>
          <w:p w14:paraId="43C53A74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Model 1</w:t>
            </w:r>
          </w:p>
        </w:tc>
        <w:tc>
          <w:tcPr>
            <w:tcW w:w="2187" w:type="dxa"/>
            <w:gridSpan w:val="2"/>
          </w:tcPr>
          <w:p w14:paraId="78A8DA69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Model 2</w:t>
            </w:r>
          </w:p>
        </w:tc>
        <w:tc>
          <w:tcPr>
            <w:tcW w:w="2256" w:type="dxa"/>
            <w:gridSpan w:val="2"/>
          </w:tcPr>
          <w:p w14:paraId="01EA7BC9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Model 3</w:t>
            </w:r>
          </w:p>
        </w:tc>
        <w:tc>
          <w:tcPr>
            <w:tcW w:w="2245" w:type="dxa"/>
            <w:gridSpan w:val="2"/>
          </w:tcPr>
          <w:p w14:paraId="2B5E0ABE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Model 4</w:t>
            </w:r>
          </w:p>
        </w:tc>
      </w:tr>
      <w:tr w14:paraId="3215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Merge w:val="continue"/>
          </w:tcPr>
          <w:p w14:paraId="4E98E674">
            <w:pPr>
              <w:rPr>
                <w:sz w:val="16"/>
                <w:szCs w:val="20"/>
                <w:vertAlign w:val="baseline"/>
              </w:rPr>
            </w:pPr>
          </w:p>
        </w:tc>
        <w:tc>
          <w:tcPr>
            <w:tcW w:w="1406" w:type="dxa"/>
          </w:tcPr>
          <w:p w14:paraId="45171768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HR(95% CI)</w:t>
            </w:r>
          </w:p>
        </w:tc>
        <w:tc>
          <w:tcPr>
            <w:tcW w:w="782" w:type="dxa"/>
          </w:tcPr>
          <w:p w14:paraId="4C382FA5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P-values</w:t>
            </w:r>
          </w:p>
        </w:tc>
        <w:tc>
          <w:tcPr>
            <w:tcW w:w="1400" w:type="dxa"/>
            <w:vAlign w:val="top"/>
          </w:tcPr>
          <w:p w14:paraId="72FF076B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HR(95% CI)</w:t>
            </w:r>
          </w:p>
        </w:tc>
        <w:tc>
          <w:tcPr>
            <w:tcW w:w="787" w:type="dxa"/>
            <w:vAlign w:val="top"/>
          </w:tcPr>
          <w:p w14:paraId="393B62C2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P-values</w:t>
            </w:r>
          </w:p>
        </w:tc>
        <w:tc>
          <w:tcPr>
            <w:tcW w:w="1481" w:type="dxa"/>
            <w:vAlign w:val="top"/>
          </w:tcPr>
          <w:p w14:paraId="204F2531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HR(95% CI)</w:t>
            </w:r>
          </w:p>
        </w:tc>
        <w:tc>
          <w:tcPr>
            <w:tcW w:w="775" w:type="dxa"/>
            <w:vAlign w:val="top"/>
          </w:tcPr>
          <w:p w14:paraId="2D83CD17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P-values</w:t>
            </w:r>
          </w:p>
        </w:tc>
        <w:tc>
          <w:tcPr>
            <w:tcW w:w="1469" w:type="dxa"/>
            <w:vAlign w:val="top"/>
          </w:tcPr>
          <w:p w14:paraId="45A4954D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HR(95% CI)</w:t>
            </w:r>
          </w:p>
        </w:tc>
        <w:tc>
          <w:tcPr>
            <w:tcW w:w="776" w:type="dxa"/>
            <w:vAlign w:val="top"/>
          </w:tcPr>
          <w:p w14:paraId="3A7DCF1C">
            <w:pPr>
              <w:rPr>
                <w:rFonts w:hint="default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P-values</w:t>
            </w:r>
          </w:p>
        </w:tc>
      </w:tr>
      <w:tr w14:paraId="3DBA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</w:tcPr>
          <w:p w14:paraId="56312309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30 days mortality</w:t>
            </w:r>
          </w:p>
        </w:tc>
      </w:tr>
      <w:tr w14:paraId="02F6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53A845C5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Serum Chloride(continuous)</w:t>
            </w:r>
          </w:p>
        </w:tc>
        <w:tc>
          <w:tcPr>
            <w:tcW w:w="1406" w:type="dxa"/>
            <w:vAlign w:val="center"/>
          </w:tcPr>
          <w:p w14:paraId="64E51A7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0.98 (0.97~ 0.99)</w:t>
            </w:r>
          </w:p>
        </w:tc>
        <w:tc>
          <w:tcPr>
            <w:tcW w:w="782" w:type="dxa"/>
            <w:vAlign w:val="center"/>
          </w:tcPr>
          <w:p w14:paraId="6050B10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</w:tcPr>
          <w:p w14:paraId="74A04FD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0.99 (0.98 ~ 0.99)</w:t>
            </w:r>
          </w:p>
        </w:tc>
        <w:tc>
          <w:tcPr>
            <w:tcW w:w="787" w:type="dxa"/>
          </w:tcPr>
          <w:p w14:paraId="027981C3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0.018</w:t>
            </w:r>
          </w:p>
        </w:tc>
        <w:tc>
          <w:tcPr>
            <w:tcW w:w="1481" w:type="dxa"/>
          </w:tcPr>
          <w:p w14:paraId="1BD759A4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0.97 (0.96 ~ 0.98)</w:t>
            </w:r>
          </w:p>
        </w:tc>
        <w:tc>
          <w:tcPr>
            <w:tcW w:w="775" w:type="dxa"/>
          </w:tcPr>
          <w:p w14:paraId="5EB62AF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</w:tcPr>
          <w:p w14:paraId="4848D22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0.96 (0.94 ~ 0.98)</w:t>
            </w:r>
          </w:p>
        </w:tc>
        <w:tc>
          <w:tcPr>
            <w:tcW w:w="776" w:type="dxa"/>
          </w:tcPr>
          <w:p w14:paraId="7116670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1766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</w:tcPr>
          <w:p w14:paraId="290A2C2C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Serum Chloride(categorical)</w:t>
            </w:r>
          </w:p>
        </w:tc>
      </w:tr>
      <w:tr w14:paraId="26F1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7472BFF6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Q1</w:t>
            </w:r>
          </w:p>
        </w:tc>
        <w:tc>
          <w:tcPr>
            <w:tcW w:w="1406" w:type="dxa"/>
          </w:tcPr>
          <w:p w14:paraId="1A6F7D48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(Reference)</w:t>
            </w:r>
          </w:p>
        </w:tc>
        <w:tc>
          <w:tcPr>
            <w:tcW w:w="782" w:type="dxa"/>
          </w:tcPr>
          <w:p w14:paraId="25CF865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6751520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(Reference)</w:t>
            </w:r>
          </w:p>
        </w:tc>
        <w:tc>
          <w:tcPr>
            <w:tcW w:w="787" w:type="dxa"/>
          </w:tcPr>
          <w:p w14:paraId="77BA0BB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 w14:paraId="1DEEAD2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(Reference)</w:t>
            </w:r>
          </w:p>
        </w:tc>
        <w:tc>
          <w:tcPr>
            <w:tcW w:w="775" w:type="dxa"/>
          </w:tcPr>
          <w:p w14:paraId="2362DA37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9" w:type="dxa"/>
          </w:tcPr>
          <w:p w14:paraId="10FEABAA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(Reference)</w:t>
            </w:r>
          </w:p>
        </w:tc>
        <w:tc>
          <w:tcPr>
            <w:tcW w:w="776" w:type="dxa"/>
          </w:tcPr>
          <w:p w14:paraId="73CDECE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275C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5C32533A">
            <w:pPr>
              <w:rPr>
                <w:rFonts w:hint="default" w:eastAsiaTheme="minor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Q2</w:t>
            </w:r>
          </w:p>
        </w:tc>
        <w:tc>
          <w:tcPr>
            <w:tcW w:w="1406" w:type="dxa"/>
            <w:vAlign w:val="center"/>
          </w:tcPr>
          <w:p w14:paraId="3E4FF9E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0.67 (0.57 ~ 0.78)</w:t>
            </w:r>
          </w:p>
        </w:tc>
        <w:tc>
          <w:tcPr>
            <w:tcW w:w="782" w:type="dxa"/>
            <w:vAlign w:val="center"/>
          </w:tcPr>
          <w:p w14:paraId="454BEDF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3458436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0.73 (0.63 ~ 0.86)</w:t>
            </w:r>
          </w:p>
        </w:tc>
        <w:tc>
          <w:tcPr>
            <w:tcW w:w="787" w:type="dxa"/>
            <w:vAlign w:val="center"/>
          </w:tcPr>
          <w:p w14:paraId="011CE6D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1D42DA8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0.72 (0.61 ~ 0.85)</w:t>
            </w:r>
          </w:p>
        </w:tc>
        <w:tc>
          <w:tcPr>
            <w:tcW w:w="775" w:type="dxa"/>
            <w:vAlign w:val="center"/>
          </w:tcPr>
          <w:p w14:paraId="58A2935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77CFEEB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0.76 (0.64 ~ 0.89)</w:t>
            </w:r>
          </w:p>
        </w:tc>
        <w:tc>
          <w:tcPr>
            <w:tcW w:w="776" w:type="dxa"/>
            <w:vAlign w:val="center"/>
          </w:tcPr>
          <w:p w14:paraId="1E860A1C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0.001</w:t>
            </w:r>
          </w:p>
        </w:tc>
      </w:tr>
      <w:tr w14:paraId="33E9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6D80BC21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Q3</w:t>
            </w:r>
          </w:p>
        </w:tc>
        <w:tc>
          <w:tcPr>
            <w:tcW w:w="1406" w:type="dxa"/>
            <w:vAlign w:val="center"/>
          </w:tcPr>
          <w:p w14:paraId="614DA2C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0.59 (0.51 ~ 0.68)</w:t>
            </w:r>
          </w:p>
        </w:tc>
        <w:tc>
          <w:tcPr>
            <w:tcW w:w="782" w:type="dxa"/>
            <w:vAlign w:val="center"/>
          </w:tcPr>
          <w:p w14:paraId="5778C3C7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39C0985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0.69 (0.60 ~ 0.80)</w:t>
            </w:r>
          </w:p>
        </w:tc>
        <w:tc>
          <w:tcPr>
            <w:tcW w:w="787" w:type="dxa"/>
            <w:vAlign w:val="center"/>
          </w:tcPr>
          <w:p w14:paraId="56352A1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3528A1F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0.66 (0.56 ~ 0.78)</w:t>
            </w:r>
          </w:p>
        </w:tc>
        <w:tc>
          <w:tcPr>
            <w:tcW w:w="775" w:type="dxa"/>
            <w:vAlign w:val="center"/>
          </w:tcPr>
          <w:p w14:paraId="4F06797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04DD1ED4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0.67 (0.57 ~ 0.80)</w:t>
            </w:r>
          </w:p>
        </w:tc>
        <w:tc>
          <w:tcPr>
            <w:tcW w:w="776" w:type="dxa"/>
            <w:vAlign w:val="center"/>
          </w:tcPr>
          <w:p w14:paraId="3D59BC5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18FF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32469F3E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Q4</w:t>
            </w:r>
          </w:p>
        </w:tc>
        <w:tc>
          <w:tcPr>
            <w:tcW w:w="1406" w:type="dxa"/>
            <w:vAlign w:val="center"/>
          </w:tcPr>
          <w:p w14:paraId="2FFA319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0.74 (0.64 ~ 0.85)</w:t>
            </w:r>
          </w:p>
        </w:tc>
        <w:tc>
          <w:tcPr>
            <w:tcW w:w="782" w:type="dxa"/>
            <w:vAlign w:val="center"/>
          </w:tcPr>
          <w:p w14:paraId="164629C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672BA76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0.87 (0.75 ~ 1.01)</w:t>
            </w:r>
          </w:p>
        </w:tc>
        <w:tc>
          <w:tcPr>
            <w:tcW w:w="787" w:type="dxa"/>
            <w:vAlign w:val="center"/>
          </w:tcPr>
          <w:p w14:paraId="42577C0B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0.060</w:t>
            </w:r>
          </w:p>
        </w:tc>
        <w:tc>
          <w:tcPr>
            <w:tcW w:w="1481" w:type="dxa"/>
            <w:vAlign w:val="center"/>
          </w:tcPr>
          <w:p w14:paraId="3169E097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0.73 (0.60 ~ 0.89)</w:t>
            </w:r>
          </w:p>
        </w:tc>
        <w:tc>
          <w:tcPr>
            <w:tcW w:w="775" w:type="dxa"/>
            <w:vAlign w:val="center"/>
          </w:tcPr>
          <w:p w14:paraId="1DB136AF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0.002</w:t>
            </w:r>
          </w:p>
        </w:tc>
        <w:tc>
          <w:tcPr>
            <w:tcW w:w="1469" w:type="dxa"/>
            <w:vAlign w:val="center"/>
          </w:tcPr>
          <w:p w14:paraId="4F0C190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0.65 (0.53 ~ 0.79)</w:t>
            </w:r>
          </w:p>
        </w:tc>
        <w:tc>
          <w:tcPr>
            <w:tcW w:w="776" w:type="dxa"/>
            <w:vAlign w:val="center"/>
          </w:tcPr>
          <w:p w14:paraId="610DE454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10D8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</w:tcPr>
          <w:p w14:paraId="668DB5A7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1406" w:type="dxa"/>
            <w:vAlign w:val="center"/>
          </w:tcPr>
          <w:p w14:paraId="588B5D4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 w14:paraId="6BF3EBA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65FD84E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4DD1F01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0.029</w:t>
            </w:r>
          </w:p>
        </w:tc>
        <w:tc>
          <w:tcPr>
            <w:tcW w:w="1481" w:type="dxa"/>
            <w:vAlign w:val="center"/>
          </w:tcPr>
          <w:p w14:paraId="69E9165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24EC030E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0.001</w:t>
            </w:r>
          </w:p>
        </w:tc>
        <w:tc>
          <w:tcPr>
            <w:tcW w:w="1469" w:type="dxa"/>
            <w:vAlign w:val="center"/>
          </w:tcPr>
          <w:p w14:paraId="56C0668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 w14:paraId="0281983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1041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  <w:vAlign w:val="top"/>
          </w:tcPr>
          <w:p w14:paraId="6717F20A">
            <w:pPr>
              <w:rPr>
                <w:sz w:val="16"/>
                <w:szCs w:val="20"/>
                <w:vertAlign w:val="baseline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90 days mortality</w:t>
            </w:r>
          </w:p>
        </w:tc>
      </w:tr>
      <w:tr w14:paraId="5F4D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5FB2AB66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Serum Chloride(continuous)</w:t>
            </w:r>
          </w:p>
        </w:tc>
        <w:tc>
          <w:tcPr>
            <w:tcW w:w="1406" w:type="dxa"/>
            <w:vAlign w:val="center"/>
          </w:tcPr>
          <w:p w14:paraId="67F29A04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0.98 (0.97 ~ 0.99)</w:t>
            </w:r>
          </w:p>
        </w:tc>
        <w:tc>
          <w:tcPr>
            <w:tcW w:w="782" w:type="dxa"/>
            <w:vAlign w:val="center"/>
          </w:tcPr>
          <w:p w14:paraId="7677940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1BEA078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0.99 (0.98 ~ 0.99)</w:t>
            </w:r>
          </w:p>
        </w:tc>
        <w:tc>
          <w:tcPr>
            <w:tcW w:w="787" w:type="dxa"/>
            <w:vAlign w:val="center"/>
          </w:tcPr>
          <w:p w14:paraId="28A8F5F4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0.014</w:t>
            </w:r>
          </w:p>
        </w:tc>
        <w:tc>
          <w:tcPr>
            <w:tcW w:w="1481" w:type="dxa"/>
            <w:vAlign w:val="center"/>
          </w:tcPr>
          <w:p w14:paraId="7836BCDA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0.98 (0.97 ~ 0.99)</w:t>
            </w:r>
          </w:p>
        </w:tc>
        <w:tc>
          <w:tcPr>
            <w:tcW w:w="775" w:type="dxa"/>
            <w:vAlign w:val="center"/>
          </w:tcPr>
          <w:p w14:paraId="7CB4D2AE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0.001</w:t>
            </w:r>
          </w:p>
        </w:tc>
        <w:tc>
          <w:tcPr>
            <w:tcW w:w="1469" w:type="dxa"/>
            <w:vAlign w:val="center"/>
          </w:tcPr>
          <w:p w14:paraId="36B4314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0.97 (0.96 ~ 0.98)</w:t>
            </w:r>
          </w:p>
        </w:tc>
        <w:tc>
          <w:tcPr>
            <w:tcW w:w="776" w:type="dxa"/>
            <w:vAlign w:val="center"/>
          </w:tcPr>
          <w:p w14:paraId="0A57BF3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5F63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  <w:vAlign w:val="top"/>
          </w:tcPr>
          <w:p w14:paraId="3CC5A15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Serum Chloride(categorical)</w:t>
            </w:r>
          </w:p>
        </w:tc>
      </w:tr>
      <w:tr w14:paraId="5AB8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49194AC4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Q1</w:t>
            </w:r>
          </w:p>
        </w:tc>
        <w:tc>
          <w:tcPr>
            <w:tcW w:w="1406" w:type="dxa"/>
            <w:vAlign w:val="top"/>
          </w:tcPr>
          <w:p w14:paraId="7FA855E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82" w:type="dxa"/>
            <w:vAlign w:val="top"/>
          </w:tcPr>
          <w:p w14:paraId="687E06EA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top"/>
          </w:tcPr>
          <w:p w14:paraId="5F3FDD2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87" w:type="dxa"/>
            <w:vAlign w:val="top"/>
          </w:tcPr>
          <w:p w14:paraId="40B38B5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top"/>
          </w:tcPr>
          <w:p w14:paraId="32CB952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75" w:type="dxa"/>
            <w:vAlign w:val="top"/>
          </w:tcPr>
          <w:p w14:paraId="3044951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67C021B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76" w:type="dxa"/>
            <w:vAlign w:val="top"/>
          </w:tcPr>
          <w:p w14:paraId="7F72738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1E6E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0FBF7E2F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Q2</w:t>
            </w:r>
          </w:p>
        </w:tc>
        <w:tc>
          <w:tcPr>
            <w:tcW w:w="1406" w:type="dxa"/>
            <w:vAlign w:val="center"/>
          </w:tcPr>
          <w:p w14:paraId="77D38B2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0.67 (0.59 ~ 0.77)</w:t>
            </w:r>
          </w:p>
        </w:tc>
        <w:tc>
          <w:tcPr>
            <w:tcW w:w="782" w:type="dxa"/>
            <w:vAlign w:val="center"/>
          </w:tcPr>
          <w:p w14:paraId="3EB413E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3160EE9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0.74 (0.65 ~ 0.84)</w:t>
            </w:r>
          </w:p>
        </w:tc>
        <w:tc>
          <w:tcPr>
            <w:tcW w:w="787" w:type="dxa"/>
            <w:vAlign w:val="center"/>
          </w:tcPr>
          <w:p w14:paraId="20786FEA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40CFCE6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0.75 (0.65 ~ 0.86)</w:t>
            </w:r>
          </w:p>
        </w:tc>
        <w:tc>
          <w:tcPr>
            <w:tcW w:w="775" w:type="dxa"/>
            <w:vAlign w:val="center"/>
          </w:tcPr>
          <w:p w14:paraId="249DBEA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03C7CA9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0.78 (0.67 ~ 0.90)</w:t>
            </w:r>
          </w:p>
        </w:tc>
        <w:tc>
          <w:tcPr>
            <w:tcW w:w="776" w:type="dxa"/>
            <w:vAlign w:val="center"/>
          </w:tcPr>
          <w:p w14:paraId="033E587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42BB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6A5CC998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Q3</w:t>
            </w:r>
          </w:p>
        </w:tc>
        <w:tc>
          <w:tcPr>
            <w:tcW w:w="1406" w:type="dxa"/>
            <w:vAlign w:val="center"/>
          </w:tcPr>
          <w:p w14:paraId="42AA4C7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0.60 (0.53 ~ 0.68)</w:t>
            </w:r>
          </w:p>
        </w:tc>
        <w:tc>
          <w:tcPr>
            <w:tcW w:w="782" w:type="dxa"/>
            <w:vAlign w:val="center"/>
          </w:tcPr>
          <w:p w14:paraId="156B8F5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2F22E4B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0.71 (0.62 ~ 0.80)</w:t>
            </w:r>
          </w:p>
        </w:tc>
        <w:tc>
          <w:tcPr>
            <w:tcW w:w="787" w:type="dxa"/>
            <w:vAlign w:val="center"/>
          </w:tcPr>
          <w:p w14:paraId="62233C7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59D54958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0.70 (0.61 ~ 0.81)</w:t>
            </w:r>
          </w:p>
        </w:tc>
        <w:tc>
          <w:tcPr>
            <w:tcW w:w="775" w:type="dxa"/>
            <w:vAlign w:val="center"/>
          </w:tcPr>
          <w:p w14:paraId="4B62230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3609245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0.71 (0.62 ~ 0.82)</w:t>
            </w:r>
          </w:p>
        </w:tc>
        <w:tc>
          <w:tcPr>
            <w:tcW w:w="776" w:type="dxa"/>
            <w:vAlign w:val="center"/>
          </w:tcPr>
          <w:p w14:paraId="4BD2161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5270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55B35500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Q4</w:t>
            </w:r>
          </w:p>
        </w:tc>
        <w:tc>
          <w:tcPr>
            <w:tcW w:w="1406" w:type="dxa"/>
            <w:vAlign w:val="center"/>
          </w:tcPr>
          <w:p w14:paraId="49CEB35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0.72 (0.64 ~ 0.82)</w:t>
            </w:r>
          </w:p>
        </w:tc>
        <w:tc>
          <w:tcPr>
            <w:tcW w:w="782" w:type="dxa"/>
            <w:vAlign w:val="center"/>
          </w:tcPr>
          <w:p w14:paraId="305646F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60A201F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0.87 (0.76 ~ 0.98)</w:t>
            </w:r>
          </w:p>
        </w:tc>
        <w:tc>
          <w:tcPr>
            <w:tcW w:w="787" w:type="dxa"/>
            <w:vAlign w:val="center"/>
          </w:tcPr>
          <w:p w14:paraId="0136FA5C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0.026</w:t>
            </w:r>
          </w:p>
        </w:tc>
        <w:tc>
          <w:tcPr>
            <w:tcW w:w="1481" w:type="dxa"/>
            <w:vAlign w:val="center"/>
          </w:tcPr>
          <w:p w14:paraId="50C3D3E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0.79 (0.66 ~ 0.94)</w:t>
            </w:r>
          </w:p>
        </w:tc>
        <w:tc>
          <w:tcPr>
            <w:tcW w:w="775" w:type="dxa"/>
            <w:vAlign w:val="center"/>
          </w:tcPr>
          <w:p w14:paraId="09043485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0.007</w:t>
            </w:r>
          </w:p>
        </w:tc>
        <w:tc>
          <w:tcPr>
            <w:tcW w:w="1469" w:type="dxa"/>
            <w:vAlign w:val="center"/>
          </w:tcPr>
          <w:p w14:paraId="104B82F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0.71 (0.59 ~ 0.84)</w:t>
            </w:r>
          </w:p>
        </w:tc>
        <w:tc>
          <w:tcPr>
            <w:tcW w:w="776" w:type="dxa"/>
            <w:vAlign w:val="center"/>
          </w:tcPr>
          <w:p w14:paraId="73B3EB9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31B1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437BBBDE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1406" w:type="dxa"/>
            <w:vAlign w:val="center"/>
          </w:tcPr>
          <w:p w14:paraId="1580735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 w14:paraId="18B8D29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67E23BC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7214FC44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0.012</w:t>
            </w:r>
          </w:p>
        </w:tc>
        <w:tc>
          <w:tcPr>
            <w:tcW w:w="1481" w:type="dxa"/>
            <w:vAlign w:val="center"/>
          </w:tcPr>
          <w:p w14:paraId="1538070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4BDFB8E2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0.004</w:t>
            </w:r>
          </w:p>
        </w:tc>
        <w:tc>
          <w:tcPr>
            <w:tcW w:w="1469" w:type="dxa"/>
            <w:vAlign w:val="center"/>
          </w:tcPr>
          <w:p w14:paraId="34CF15A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 w14:paraId="5205EE0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0920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  <w:vAlign w:val="top"/>
          </w:tcPr>
          <w:p w14:paraId="1154565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180 days mortality</w:t>
            </w:r>
          </w:p>
        </w:tc>
      </w:tr>
      <w:tr w14:paraId="239F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1772C65F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Serum Chloride(continuous)</w:t>
            </w:r>
          </w:p>
        </w:tc>
        <w:tc>
          <w:tcPr>
            <w:tcW w:w="1406" w:type="dxa"/>
            <w:vAlign w:val="center"/>
          </w:tcPr>
          <w:p w14:paraId="36EF687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0.98 (0.97 ~ 0.98)</w:t>
            </w:r>
          </w:p>
        </w:tc>
        <w:tc>
          <w:tcPr>
            <w:tcW w:w="782" w:type="dxa"/>
            <w:vAlign w:val="center"/>
          </w:tcPr>
          <w:p w14:paraId="14C2A717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6550743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0.99 (0.98 ~ 0.99)</w:t>
            </w:r>
          </w:p>
        </w:tc>
        <w:tc>
          <w:tcPr>
            <w:tcW w:w="787" w:type="dxa"/>
            <w:vAlign w:val="center"/>
          </w:tcPr>
          <w:p w14:paraId="59E651C5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0.003</w:t>
            </w:r>
          </w:p>
        </w:tc>
        <w:tc>
          <w:tcPr>
            <w:tcW w:w="1481" w:type="dxa"/>
            <w:vAlign w:val="center"/>
          </w:tcPr>
          <w:p w14:paraId="473BEDB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0.98 (0.97 ~ 0.99)</w:t>
            </w:r>
          </w:p>
        </w:tc>
        <w:tc>
          <w:tcPr>
            <w:tcW w:w="775" w:type="dxa"/>
            <w:vAlign w:val="center"/>
          </w:tcPr>
          <w:p w14:paraId="4F0CED1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2D910D5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0.97 (0.96 ~ 0.98)</w:t>
            </w:r>
          </w:p>
        </w:tc>
        <w:tc>
          <w:tcPr>
            <w:tcW w:w="776" w:type="dxa"/>
            <w:vAlign w:val="center"/>
          </w:tcPr>
          <w:p w14:paraId="4A1CD8F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764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  <w:gridSpan w:val="9"/>
            <w:vAlign w:val="top"/>
          </w:tcPr>
          <w:p w14:paraId="7A29301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20"/>
                <w:vertAlign w:val="baseline"/>
                <w:lang w:val="en-US" w:eastAsia="zh-CN"/>
              </w:rPr>
              <w:t>Serum Chloride(categorical)</w:t>
            </w:r>
          </w:p>
        </w:tc>
      </w:tr>
      <w:tr w14:paraId="5B7C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327221BF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Q1</w:t>
            </w:r>
          </w:p>
        </w:tc>
        <w:tc>
          <w:tcPr>
            <w:tcW w:w="1406" w:type="dxa"/>
            <w:vAlign w:val="top"/>
          </w:tcPr>
          <w:p w14:paraId="3F21FA7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82" w:type="dxa"/>
            <w:vAlign w:val="top"/>
          </w:tcPr>
          <w:p w14:paraId="264E88B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top"/>
          </w:tcPr>
          <w:p w14:paraId="5B033A9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87" w:type="dxa"/>
            <w:vAlign w:val="top"/>
          </w:tcPr>
          <w:p w14:paraId="4668E87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top"/>
          </w:tcPr>
          <w:p w14:paraId="29BFF29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75" w:type="dxa"/>
            <w:vAlign w:val="top"/>
          </w:tcPr>
          <w:p w14:paraId="7DDDB8A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32FBDAB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1.00 (Reference</w:t>
            </w:r>
          </w:p>
        </w:tc>
        <w:tc>
          <w:tcPr>
            <w:tcW w:w="776" w:type="dxa"/>
            <w:vAlign w:val="top"/>
          </w:tcPr>
          <w:p w14:paraId="38165D77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682B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589DCC52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Q2</w:t>
            </w:r>
          </w:p>
        </w:tc>
        <w:tc>
          <w:tcPr>
            <w:tcW w:w="1406" w:type="dxa"/>
            <w:vAlign w:val="center"/>
          </w:tcPr>
          <w:p w14:paraId="6C7A4771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0.69 (0.61 ~ 0.77)</w:t>
            </w:r>
          </w:p>
        </w:tc>
        <w:tc>
          <w:tcPr>
            <w:tcW w:w="782" w:type="dxa"/>
            <w:vAlign w:val="center"/>
          </w:tcPr>
          <w:p w14:paraId="5BBE630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755AD1C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0.74 (0.66 ~ 0.84)</w:t>
            </w:r>
          </w:p>
        </w:tc>
        <w:tc>
          <w:tcPr>
            <w:tcW w:w="787" w:type="dxa"/>
            <w:vAlign w:val="center"/>
          </w:tcPr>
          <w:p w14:paraId="69465F1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0271A68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0.75 (0.66 ~ 0.85)</w:t>
            </w:r>
          </w:p>
        </w:tc>
        <w:tc>
          <w:tcPr>
            <w:tcW w:w="775" w:type="dxa"/>
            <w:vAlign w:val="center"/>
          </w:tcPr>
          <w:p w14:paraId="1DCF31C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00F03EB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0.77 (0.68 ~ 0.88)</w:t>
            </w:r>
          </w:p>
        </w:tc>
        <w:tc>
          <w:tcPr>
            <w:tcW w:w="776" w:type="dxa"/>
            <w:vAlign w:val="center"/>
          </w:tcPr>
          <w:p w14:paraId="731D5DD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1BAA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61ED57D1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Q3</w:t>
            </w:r>
          </w:p>
        </w:tc>
        <w:tc>
          <w:tcPr>
            <w:tcW w:w="1406" w:type="dxa"/>
            <w:vAlign w:val="center"/>
          </w:tcPr>
          <w:p w14:paraId="0C0E17E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0.62 (0.56 ~ 0.70)</w:t>
            </w:r>
          </w:p>
        </w:tc>
        <w:tc>
          <w:tcPr>
            <w:tcW w:w="782" w:type="dxa"/>
            <w:vAlign w:val="center"/>
          </w:tcPr>
          <w:p w14:paraId="436FC3D3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4BD8781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0.73 (0.65 ~ 0.82)</w:t>
            </w:r>
          </w:p>
        </w:tc>
        <w:tc>
          <w:tcPr>
            <w:tcW w:w="787" w:type="dxa"/>
            <w:vAlign w:val="center"/>
          </w:tcPr>
          <w:p w14:paraId="3ACDF99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81" w:type="dxa"/>
            <w:vAlign w:val="center"/>
          </w:tcPr>
          <w:p w14:paraId="207B90F9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0.72 (0.63 ~ 0.82)</w:t>
            </w:r>
          </w:p>
        </w:tc>
        <w:tc>
          <w:tcPr>
            <w:tcW w:w="775" w:type="dxa"/>
            <w:vAlign w:val="center"/>
          </w:tcPr>
          <w:p w14:paraId="39F2CBF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204DBFAA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0.73 (0.64 ~ 0.83)</w:t>
            </w:r>
          </w:p>
        </w:tc>
        <w:tc>
          <w:tcPr>
            <w:tcW w:w="776" w:type="dxa"/>
            <w:vAlign w:val="center"/>
          </w:tcPr>
          <w:p w14:paraId="33887538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502C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3855B816">
            <w:pPr>
              <w:rPr>
                <w:rFonts w:hint="eastAsia" w:asciiTheme="minorHAnsi" w:hAnsiTheme="minorHAnsi" w:eastAsiaTheme="minorEastAsia" w:cstheme="minorBidi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Q4</w:t>
            </w:r>
          </w:p>
        </w:tc>
        <w:tc>
          <w:tcPr>
            <w:tcW w:w="1406" w:type="dxa"/>
            <w:vAlign w:val="center"/>
          </w:tcPr>
          <w:p w14:paraId="73086A8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0.70 (0.62 ~ 0.79)</w:t>
            </w:r>
          </w:p>
        </w:tc>
        <w:tc>
          <w:tcPr>
            <w:tcW w:w="782" w:type="dxa"/>
            <w:vAlign w:val="center"/>
          </w:tcPr>
          <w:p w14:paraId="0B57399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4B1736D2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0.84 (0.75 ~ 0.95)</w:t>
            </w:r>
          </w:p>
        </w:tc>
        <w:tc>
          <w:tcPr>
            <w:tcW w:w="787" w:type="dxa"/>
            <w:vAlign w:val="center"/>
          </w:tcPr>
          <w:p w14:paraId="3D92D864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0.004</w:t>
            </w:r>
          </w:p>
        </w:tc>
        <w:tc>
          <w:tcPr>
            <w:tcW w:w="1481" w:type="dxa"/>
            <w:vAlign w:val="center"/>
          </w:tcPr>
          <w:p w14:paraId="78B15EB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0.76 (0.65 ~ 0.89)</w:t>
            </w:r>
          </w:p>
        </w:tc>
        <w:tc>
          <w:tcPr>
            <w:tcW w:w="775" w:type="dxa"/>
            <w:vAlign w:val="center"/>
          </w:tcPr>
          <w:p w14:paraId="4FA1069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65C530B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0.69 (0.59 ~ 0.80)</w:t>
            </w:r>
          </w:p>
        </w:tc>
        <w:tc>
          <w:tcPr>
            <w:tcW w:w="776" w:type="dxa"/>
            <w:vAlign w:val="center"/>
          </w:tcPr>
          <w:p w14:paraId="1A4644E5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  <w:tr w14:paraId="600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top"/>
          </w:tcPr>
          <w:p w14:paraId="4DB82B22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P for trend</w:t>
            </w:r>
          </w:p>
        </w:tc>
        <w:tc>
          <w:tcPr>
            <w:tcW w:w="1406" w:type="dxa"/>
            <w:vAlign w:val="center"/>
          </w:tcPr>
          <w:p w14:paraId="5AEDFD4E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 w14:paraId="57F766AB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00" w:type="dxa"/>
            <w:vAlign w:val="center"/>
          </w:tcPr>
          <w:p w14:paraId="446A1D60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8EB05E2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0.002</w:t>
            </w:r>
          </w:p>
        </w:tc>
        <w:tc>
          <w:tcPr>
            <w:tcW w:w="1481" w:type="dxa"/>
            <w:vAlign w:val="center"/>
          </w:tcPr>
          <w:p w14:paraId="7A9E1196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124F3BCC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469" w:type="dxa"/>
            <w:vAlign w:val="center"/>
          </w:tcPr>
          <w:p w14:paraId="55D3FAED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6" w:type="dxa"/>
            <w:vAlign w:val="center"/>
          </w:tcPr>
          <w:p w14:paraId="5CFEA87F">
            <w:pP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&lt;0.001</w:t>
            </w:r>
          </w:p>
        </w:tc>
      </w:tr>
    </w:tbl>
    <w:p w14:paraId="4C0DDE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Table 2.Cox proportional hazard ratios for 30 days,90 days,180 days all-cause mortality HR: </w:t>
      </w:r>
    </w:p>
    <w:p w14:paraId="189991C9">
      <w:pP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Model1: Crude;</w:t>
      </w:r>
    </w:p>
    <w:p w14:paraId="4169BAE8">
      <w:pP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Model2: Adjust: Gender, Age, Weight;</w:t>
      </w:r>
    </w:p>
    <w:p w14:paraId="50139B29">
      <w:pPr>
        <w:rPr>
          <w:rFonts w:hint="default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Model3: Adjust: Gender, Age, Weight, Glucose, WBC, RBC, Platelet, Calcium, Potassium, Sodium, Creatinine, BUN, PT, Myocardial_infarct, Heart_failure, Cerebrovascular_disease, COPD, Liver_disease, Diabetes, Renal_disease, Malignant_cancer, Hypertension, AKI;</w:t>
      </w:r>
    </w:p>
    <w:p w14:paraId="06357D7A">
      <w:pP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Model4: Adjust: Gender, Age, Weight, APSIII, OASIS, SOFA, LODS, GCS, Heart_rate, SBP, DBP, Temperature, Glucose, WBC, RBC, Platelet, Calcium, Potassium, Sodium, Creatinine, BUN, PT, Myocardial_infarct, Heart_failure, Cerebrovascular_disease, COPD, Liver_disease, Diabetes, Renal_disease, Malignant_cancer, Hypertension, AKI, Ventilator, CRRT;</w:t>
      </w:r>
    </w:p>
    <w:p w14:paraId="2BF43BF1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HR:Hazard Ratio, CI: Confidence Interval;</w:t>
      </w:r>
      <w:bookmarkStart w:id="0" w:name="_GoBack"/>
      <w:r>
        <w:rPr>
          <w:rFonts w:hint="eastAsia" w:ascii="Times New Roman" w:hAnsi="Times New Roman" w:eastAsia="Times New Roman" w:cs="Times New Roman"/>
          <w:b w:val="0"/>
          <w:i w:val="0"/>
          <w:color w:val="000000"/>
          <w:sz w:val="16"/>
          <w:szCs w:val="16"/>
          <w:u w:val="none"/>
          <w:lang w:val="en-US" w:eastAsia="zh-CN"/>
        </w:rPr>
        <w:t>AKI：Acute Kidney Injury;SOFA:Sequential Organ Failure Assessment;APS:Acute Physiology Score;OASIS：Oxford Acute Severity of Illness Score;LODS:Lactate-Oxygenation-Derived Severity Score;GCS:Glasgow Coma Scale;COPD:Chronic Obstructive Pulmonary Disease;SBP:Systolic Blood Pressure;DBP:Diastolic Blood Pressure;WBC:White Blood Cell;RBC:Red Blood Cell;BUN:Blood Urea Nitrogen;PT:Prothrombin Time;CRRT:Continuous Renal Replacement Therapy;LOS:Length of Stay;ICU:Intensive Care Unit.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0A70CCE"/>
    <w:rsid w:val="05983826"/>
    <w:rsid w:val="09DF6B75"/>
    <w:rsid w:val="0A5146BA"/>
    <w:rsid w:val="0F282556"/>
    <w:rsid w:val="17A70B2D"/>
    <w:rsid w:val="18C2495C"/>
    <w:rsid w:val="19EF24A3"/>
    <w:rsid w:val="1F58358F"/>
    <w:rsid w:val="21982D28"/>
    <w:rsid w:val="345662E8"/>
    <w:rsid w:val="377A517A"/>
    <w:rsid w:val="3BFD5987"/>
    <w:rsid w:val="40602F1B"/>
    <w:rsid w:val="4AC358D7"/>
    <w:rsid w:val="4C295703"/>
    <w:rsid w:val="540E3B7C"/>
    <w:rsid w:val="56E11731"/>
    <w:rsid w:val="618E7A70"/>
    <w:rsid w:val="6A5F0F85"/>
    <w:rsid w:val="713D4E81"/>
    <w:rsid w:val="74394EF7"/>
    <w:rsid w:val="7930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2289</Characters>
  <Lines>0</Lines>
  <Paragraphs>0</Paragraphs>
  <TotalTime>0</TotalTime>
  <ScaleCrop>false</ScaleCrop>
  <LinksUpToDate>false</LinksUpToDate>
  <CharactersWithSpaces>2551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2024-07-28T09:35:00Z</dcterms:created>
  <dc:creator>sxszxyymq</dc:creator>
  <cp:lastModifiedBy>马权</cp:lastModifiedBy>
  <dcterms:modified xsi:type="dcterms:W3CDTF">2024-08-12T16:57:20Z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C84B81330FE945DB9AEEBEA33AE8F1E3_12</vt:lpwstr>
  </property>
</Properties>
</file>