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0F39FE" w14:textId="77777777" w:rsidR="00C925DD" w:rsidRPr="00C925DD" w:rsidRDefault="00C925DD" w:rsidP="00613146">
      <w:pPr>
        <w:pStyle w:val="a3"/>
        <w:spacing w:line="480" w:lineRule="auto"/>
        <w:rPr>
          <w:b/>
          <w:bCs/>
        </w:rPr>
      </w:pPr>
      <w:r w:rsidRPr="00C925DD">
        <w:rPr>
          <w:b/>
          <w:bCs/>
        </w:rPr>
        <w:t>Literature Review</w:t>
      </w:r>
    </w:p>
    <w:p w14:paraId="5D089F4A" w14:textId="5C541BBC" w:rsidR="00C925DD" w:rsidRDefault="00C925DD" w:rsidP="00613146">
      <w:pPr>
        <w:pStyle w:val="a3"/>
        <w:spacing w:line="480" w:lineRule="auto"/>
        <w:rPr>
          <w:sz w:val="21"/>
          <w:szCs w:val="21"/>
        </w:rPr>
      </w:pPr>
      <w:r w:rsidRPr="003015FB">
        <w:rPr>
          <w:sz w:val="21"/>
          <w:szCs w:val="21"/>
        </w:rPr>
        <w:t xml:space="preserve">Relevant cases were identified through a literature search with the keywords "GFAP", "GFAP-A", and "EBV” on Google Scholar and PubMed. Inclusion criteria were </w:t>
      </w:r>
      <w:r>
        <w:rPr>
          <w:sz w:val="21"/>
          <w:szCs w:val="21"/>
        </w:rPr>
        <w:t>established to include articles</w:t>
      </w:r>
      <w:r w:rsidRPr="003015FB">
        <w:rPr>
          <w:sz w:val="21"/>
          <w:szCs w:val="21"/>
        </w:rPr>
        <w:t xml:space="preserve"> that </w:t>
      </w:r>
      <w:r>
        <w:rPr>
          <w:sz w:val="21"/>
          <w:szCs w:val="21"/>
        </w:rPr>
        <w:t xml:space="preserve">provided strong evidence of concurrent </w:t>
      </w:r>
      <w:r w:rsidRPr="003015FB">
        <w:rPr>
          <w:sz w:val="21"/>
          <w:szCs w:val="21"/>
        </w:rPr>
        <w:t>EBV</w:t>
      </w:r>
      <w:r>
        <w:rPr>
          <w:sz w:val="21"/>
          <w:szCs w:val="21"/>
        </w:rPr>
        <w:t xml:space="preserve"> infection and</w:t>
      </w:r>
      <w:r w:rsidRPr="003015FB">
        <w:rPr>
          <w:sz w:val="21"/>
          <w:szCs w:val="21"/>
        </w:rPr>
        <w:t xml:space="preserve"> GFAP-A, </w:t>
      </w:r>
      <w:r>
        <w:rPr>
          <w:sz w:val="21"/>
          <w:szCs w:val="21"/>
        </w:rPr>
        <w:t>specifically those that quantified EBV DNA levels and showed the presence of anti-GFAP antibodies in the CSF</w:t>
      </w:r>
      <w:r w:rsidRPr="003015FB">
        <w:rPr>
          <w:sz w:val="21"/>
          <w:szCs w:val="21"/>
        </w:rPr>
        <w:t xml:space="preserve">. Studies that </w:t>
      </w:r>
      <w:r>
        <w:rPr>
          <w:sz w:val="21"/>
          <w:szCs w:val="21"/>
        </w:rPr>
        <w:t>exclusively assessed EBV antibodies</w:t>
      </w:r>
      <w:r w:rsidRPr="003015FB">
        <w:rPr>
          <w:sz w:val="21"/>
          <w:szCs w:val="21"/>
        </w:rPr>
        <w:t xml:space="preserve"> </w:t>
      </w:r>
      <w:r>
        <w:rPr>
          <w:sz w:val="21"/>
          <w:szCs w:val="21"/>
        </w:rPr>
        <w:t xml:space="preserve">or failed to provide evidence of concurrent EBV infection </w:t>
      </w:r>
      <w:r w:rsidRPr="003015FB">
        <w:rPr>
          <w:sz w:val="21"/>
          <w:szCs w:val="21"/>
        </w:rPr>
        <w:t xml:space="preserve">were excluded. </w:t>
      </w:r>
    </w:p>
    <w:p w14:paraId="687A3335" w14:textId="07BD7D7C" w:rsidR="00C925DD" w:rsidRDefault="00C925DD" w:rsidP="00613146">
      <w:pPr>
        <w:pStyle w:val="a3"/>
        <w:spacing w:line="480" w:lineRule="auto"/>
        <w:rPr>
          <w:sz w:val="21"/>
          <w:szCs w:val="21"/>
        </w:rPr>
      </w:pPr>
      <w:r w:rsidRPr="003015FB">
        <w:rPr>
          <w:sz w:val="21"/>
          <w:szCs w:val="21"/>
        </w:rPr>
        <w:t>Our search identified 262 articles, with five meeting inclusion criteria (</w:t>
      </w:r>
      <w:r>
        <w:rPr>
          <w:sz w:val="21"/>
          <w:szCs w:val="21"/>
        </w:rPr>
        <w:t xml:space="preserve">Supplementary </w:t>
      </w:r>
      <w:r w:rsidRPr="003015FB">
        <w:rPr>
          <w:sz w:val="21"/>
          <w:szCs w:val="21"/>
        </w:rPr>
        <w:t xml:space="preserve">Table 1). One article was further excluded for data </w:t>
      </w:r>
      <w:r w:rsidRPr="00C9145C">
        <w:rPr>
          <w:sz w:val="21"/>
          <w:szCs w:val="21"/>
        </w:rPr>
        <w:t>inconsistencies</w:t>
      </w:r>
      <w:r w:rsidR="004E2185" w:rsidRPr="00C9145C">
        <w:rPr>
          <w:rFonts w:eastAsiaTheme="minorEastAsia" w:hint="eastAsia"/>
          <w:sz w:val="21"/>
          <w:szCs w:val="21"/>
        </w:rPr>
        <w:t xml:space="preserve"> </w:t>
      </w:r>
      <w:r w:rsidR="004E2185" w:rsidRPr="00C9145C">
        <w:rPr>
          <w:sz w:val="21"/>
          <w:szCs w:val="21"/>
        </w:rPr>
        <w:fldChar w:fldCharType="begin"/>
      </w:r>
      <w:r w:rsidR="00B55664" w:rsidRPr="00C9145C">
        <w:rPr>
          <w:sz w:val="21"/>
          <w:szCs w:val="21"/>
        </w:rPr>
        <w:instrText xml:space="preserve"> ADDIN ZOTERO_ITEM CSL_CITATION {"citationID":"ZQa1qREE","properties":{"formattedCitation":"(1)","plainCitation":"(1)","noteIndex":0},"citationItems":[{"id":389,"uris":["http://zotero.org/users/11423929/items/5892CZ25"],"itemData":{"id":389,"type":"article-journal","abstract":"To review clinical characteristics, auxiliary examination results, treatment effects, and outcomes of patients with autoimmune glial fibrillary acidic protein astrocytopathy (GFAP-A).","container-title":"Acta Neurologica Belgica","DOI":"10.1007/s13760-023-02268-0","ISSN":"2240-2993","issue":"4","journalAbbreviation":"Acta Neurol Belg","language":"en","page":"1465-1479","source":"Springer Link","title":"Autoimmune glial fibrillary acidic protein astrocytopathy: clinical analysis and review of 15 cases","title-short":"Autoimmune glial fibrillary acidic protein astrocytopathy","volume":"123","author":[{"family":"Lan","given":"Wei"},{"family":"Li","given":"Jiming"},{"family":"Ai","given":"Peiying"},{"family":"Luo","given":"Weiliang"}],"issued":{"date-parts":[["2023",8,1]]}},"locator":"15"}],"schema":"https://github.com/citation-style-language/schema/raw/master/csl-citation.json"} </w:instrText>
      </w:r>
      <w:r w:rsidR="004E2185" w:rsidRPr="00C9145C">
        <w:rPr>
          <w:sz w:val="21"/>
          <w:szCs w:val="21"/>
        </w:rPr>
        <w:fldChar w:fldCharType="separate"/>
      </w:r>
      <w:r w:rsidR="00B55664" w:rsidRPr="00C9145C">
        <w:rPr>
          <w:sz w:val="21"/>
        </w:rPr>
        <w:t>(</w:t>
      </w:r>
      <w:r w:rsidR="00B55664" w:rsidRPr="00C9145C">
        <w:rPr>
          <w:rFonts w:eastAsiaTheme="minorEastAsia" w:hint="eastAsia"/>
          <w:sz w:val="21"/>
        </w:rPr>
        <w:t>15</w:t>
      </w:r>
      <w:r w:rsidR="00B55664" w:rsidRPr="00C9145C">
        <w:rPr>
          <w:sz w:val="21"/>
        </w:rPr>
        <w:t>)</w:t>
      </w:r>
      <w:r w:rsidR="004E2185" w:rsidRPr="00C9145C">
        <w:rPr>
          <w:sz w:val="21"/>
          <w:szCs w:val="21"/>
        </w:rPr>
        <w:fldChar w:fldCharType="end"/>
      </w:r>
      <w:r w:rsidRPr="00C9145C">
        <w:rPr>
          <w:sz w:val="21"/>
          <w:szCs w:val="21"/>
        </w:rPr>
        <w:t>, leaving four articles reporting eight cases of EBV-related GFAP-A (Supplementary Table 1)</w:t>
      </w:r>
      <w:r w:rsidR="001A1094" w:rsidRPr="00C9145C">
        <w:rPr>
          <w:sz w:val="21"/>
          <w:szCs w:val="21"/>
        </w:rPr>
        <w:t xml:space="preserve"> </w:t>
      </w:r>
      <w:r w:rsidR="001A1094" w:rsidRPr="00C9145C">
        <w:rPr>
          <w:sz w:val="21"/>
          <w:szCs w:val="21"/>
        </w:rPr>
        <w:fldChar w:fldCharType="begin"/>
      </w:r>
      <w:r w:rsidR="00B55664" w:rsidRPr="00C9145C">
        <w:rPr>
          <w:sz w:val="21"/>
          <w:szCs w:val="21"/>
        </w:rPr>
        <w:instrText xml:space="preserve"> ADDIN ZOTERO_ITEM CSL_CITATION {"citationID":"XfZIcQCF","properties":{"formattedCitation":"(2\\uc0\\u8211{}5)","plainCitation":"(2–5)","noteIndex":0},"citationItems":[{"id":364,"uris":["http://zotero.org/users/11423929/items/EPPHFBAA"],"itemData":{"id":364,"type":"article-journal","abstract":"Epstein–Barr virus (EBV) could induce central nervous system (CNS) autoimmune response in autoimmune glial fibrillary acidic protein (GFAP) astrocytopathy. The potential pathogenic mechanisms including: directly invade CNS (release inflammatory cytokines IL‐6, IL‐1, et al), CD8+ T cell mediated damage, infection‐mediated immune response, and EBV reactivation.","container-title":"CNS Neuroscience &amp; Therapeutics","DOI":"10.1111/cns.14336","ISSN":"1755-5930","issue":"12","journalAbbreviation":"CNS Neurosci Ther","note":"PMID: 37458208\nPMCID: PMC10651959","page":"4139-4146","source":"PubMed Central","title":"Epstein–Barr virus: To be a trigger of autoimmune glial fibrillary acidic protein astrocytopathy?","title-short":"Epstein–Barr virus","volume":"29","author":[{"family":"Li","given":"Xiao‐Li"},{"family":"Wang","given":"Jun‐Yan"},{"family":"Li","given":"Liang‐Kang"},{"family":"Yang","given":"Chun‐Lin"},{"family":"Zhao","given":"Xue‐Lu"},{"family":"Yang","given":"Bing"},{"family":"Zhang","given":"Peng"},{"family":"Liu","given":"Bin"},{"family":"Li","given":"Yan‐Bin"},{"family":"Zhang","given":"Zhao‐Xu"},{"family":"Duan","given":"Rui‐Sheng"}],"issued":{"date-parts":[["2023",7,17]]}}},{"id":367,"uris":["http://zotero.org/users/11423929/items/FHXIEDKG"],"itemData":{"id":367,"type":"article-journal","abstract":"Due to neuronal destruction caused by Epstein-Barr virus (EBV) infection, exposure to neuronal surface antigens may lead to an imbalance in immune tolerance, which in turn triggers an autoimmune response. In addition, due to the involvement of nonspecific B-cell activation or molecular mimicry, EBV and Glial Fibrillary Acidic Protein (GFAP) receptors may have common epitopes. Viral infection triggers activation of B-cell and cross-reaction with viral antibodies, resulting in autoimmune encephalomyelitis. The clinical presentation may be complex or even atypical. A small number of patients may develop autoimmune reactions.","container-title":"Medicine","DOI":"10.1097/MD.0000000000031995","ISSN":"0025-7974","issue":"48","journalAbbreviation":"Medicine (Baltimore)","note":"PMID: 36482607\nPMCID: PMC9726296","page":"e31995","source":"PubMed Central","title":"A case of EBV encephalomyelitis with positive anti-GFAP-IgG antibody with recurrent fever and dysuresia as the main symptoms: Case report and retrospective analysis","title-short":"A case of EBV encephalomyelitis with positive anti-GFAP-IgG antibody with recurrent fever and dysuresia as the main symptoms","volume":"101","author":[{"family":"Wang","given":"Lulu"},{"family":"Dong","given":"Lulu"},{"family":"Zhao","given":"Mingmin"},{"family":"Jiang","given":"Chao"},{"family":"Geng","given":"Minxia"},{"family":"Li","given":"Shuang"},{"family":"Xing","given":"Jiahao"},{"family":"Wang","given":"Tianjun"}],"issued":{"date-parts":[["2022",12,2]]}}},{"id":370,"uris":["http://zotero.org/users/11423929/items/YY7RGKYW"],"itemData":{"id":370,"type":"article-journal","container-title":"Journal of Neuroimmunology","DOI":"10.1016/j.jneuroim.2023.578174","ISSN":"0165-5728, 1872-8421","journalAbbreviation":"Journal of Neuroimmunology","language":"English","note":"publisher: Elsevier\nPMID: 37573633","source":"www.jni-journal.com","title":"Overlapping Epstein-Barr virus encephalitis and autoimmune glial fibrillary acidic protein astrocytopathy","URL":"https://www.jni-journal.com/article/S0165-5728(23)00160-1/abstract","volume":"382","author":[{"family":"Zhang","given":"Jin-ru"},{"family":"Zhuang","given":"Sheng"},{"family":"Xu","given":"Xiao-dong"},{"family":"Song","given":"Wen-li"},{"family":"Li","given":"Ke-ru"},{"family":"Jiang","given":"Yu"},{"family":"Cheng","given":"Xiao-yu"},{"family":"Shi","given":"Ji-jun"},{"family":"Hu","given":"Wei-dong"},{"family":"Liu","given":"Chun-feng"},{"family":"Zhang","given":"Yan-lin"}],"accessed":{"date-parts":[["2024",6,28]]},"issued":{"date-parts":[["2023",9,15]]}}},{"id":413,"uris":["http://zotero.org/users/11423929/items/7FWSSYDE"],"itemData":{"id":413,"type":"article-journal","abstract":"Background In autoimmune glial fibrillary acidic protein (GFAP) astrocytopathy, brain magnetic resonance imaging (MRI) shows no abnormal findings in many cases, which attributes to misdiagnoses. To our knowledge, magnetic resonance spectroscopy (MRS) findings have never been reported for autoimmune GFAP astrocytopathy. Case presentation A 17-year-old girl presented with impaired consciousness and delirium; her cerebrospinal fluid was positive for Epstein–Barr virus. Reduced diffusion in the splenium of the corpus callosum on brain MRI led to a tentative diagnosis of mild encephalitis/encephalopathy with a reversible splenial lesion. On repeatedly carrying out brain MRI, new lesions characteristic of autoimmune GFAP astrocytopathy were identified. MRS showed a low concentration of myo-inositol, an astrocyte-specific marker. Intravenous methylprednisolone gradually resolved the patient’s symptoms, while the MRS findings were normalized as her symptoms resolved. Anti-GFAP antibody was positive in the patient’s cerebrospinal fluid. Conclusions The MRI findings characteristic of autoimmune GFAP astrocytopathy might not be present at the illness onset when triggered by Epstein–Barr virus reactivation. Our results suggest that MRS might show astrocytic dysfunction and be useful in evaluating treatment progress.","container-title":"Clinical and Experimental Neuroimmunology","DOI":"10.1111/cen3.12659","ISSN":"1759-1961","issue":"2","language":"en","license":"© 2021 Japanese Society for Neuroimmunology","note":"_eprint: https://onlinelibrary.wiley.com/doi/pdf/10.1111/cen3.12659","page":"106-110","source":"Wiley Online Library","title":"Case of autoimmune glial fibrillary acidic protein astrocytopathy associated with Epstein–Barr virus reactivation","volume":"13","author":[{"family":"So","given":"Hayato"},{"family":"Ohashi","given":"Takashi"},{"family":"Yamagishi","given":"Sae"},{"family":"Mori","given":"Harushi"},{"family":"Takanashi","given":"Jun-ichi"}],"issued":{"date-parts":[["2022"]]}}}],"schema":"https://github.com/citation-style-language/schema/raw/master/csl-citation.json"} </w:instrText>
      </w:r>
      <w:r w:rsidR="001A1094" w:rsidRPr="00C9145C">
        <w:rPr>
          <w:sz w:val="21"/>
          <w:szCs w:val="21"/>
        </w:rPr>
        <w:fldChar w:fldCharType="separate"/>
      </w:r>
      <w:r w:rsidR="00B55664" w:rsidRPr="00C9145C">
        <w:rPr>
          <w:sz w:val="21"/>
        </w:rPr>
        <w:t>(</w:t>
      </w:r>
      <w:r w:rsidR="00B55664" w:rsidRPr="00C9145C">
        <w:rPr>
          <w:rFonts w:eastAsiaTheme="minorEastAsia" w:hint="eastAsia"/>
          <w:sz w:val="21"/>
        </w:rPr>
        <w:t>8</w:t>
      </w:r>
      <w:r w:rsidR="00B55664" w:rsidRPr="00C9145C">
        <w:rPr>
          <w:sz w:val="21"/>
        </w:rPr>
        <w:t>–</w:t>
      </w:r>
      <w:r w:rsidR="00B55664" w:rsidRPr="00C9145C">
        <w:rPr>
          <w:rFonts w:eastAsiaTheme="minorEastAsia" w:hint="eastAsia"/>
          <w:sz w:val="21"/>
        </w:rPr>
        <w:t>11</w:t>
      </w:r>
      <w:r w:rsidR="00B55664" w:rsidRPr="00C9145C">
        <w:rPr>
          <w:sz w:val="21"/>
        </w:rPr>
        <w:t>)</w:t>
      </w:r>
      <w:r w:rsidR="001A1094" w:rsidRPr="00C9145C">
        <w:rPr>
          <w:sz w:val="21"/>
          <w:szCs w:val="21"/>
        </w:rPr>
        <w:fldChar w:fldCharType="end"/>
      </w:r>
      <w:r w:rsidR="001A1094" w:rsidRPr="00C9145C">
        <w:rPr>
          <w:rFonts w:eastAsiaTheme="minorEastAsia" w:hint="eastAsia"/>
          <w:sz w:val="21"/>
          <w:szCs w:val="21"/>
        </w:rPr>
        <w:t xml:space="preserve">. </w:t>
      </w:r>
      <w:r w:rsidRPr="00C9145C">
        <w:rPr>
          <w:sz w:val="21"/>
          <w:szCs w:val="21"/>
        </w:rPr>
        <w:t xml:space="preserve">All individuals were East Asian, aged 17-71 years (median: 56.5 years). GFAP-IgG was detected between 15-44 days post-symptom onset (median: 24.5 days). EBV in CSF was confirmed by metagenomic next-generation sequencing </w:t>
      </w:r>
      <w:r w:rsidRPr="003015FB">
        <w:rPr>
          <w:sz w:val="21"/>
          <w:szCs w:val="21"/>
        </w:rPr>
        <w:t>(mNGS, range: 1-22 reads, median: 6 reads) and/or PCR (range: 400-2800 copies/ml, median: 1565 copies/ml). Maximum CSF cell counts ranged from 90</w:t>
      </w:r>
      <w:r w:rsidRPr="003015FB">
        <w:rPr>
          <w:rFonts w:eastAsiaTheme="minorEastAsia"/>
          <w:sz w:val="21"/>
          <w:szCs w:val="21"/>
        </w:rPr>
        <w:t>-</w:t>
      </w:r>
      <w:r w:rsidRPr="003015FB">
        <w:rPr>
          <w:sz w:val="21"/>
          <w:szCs w:val="21"/>
        </w:rPr>
        <w:t>392×10</w:t>
      </w:r>
      <w:r w:rsidRPr="003015FB">
        <w:rPr>
          <w:rFonts w:eastAsiaTheme="minorEastAsia"/>
          <w:sz w:val="21"/>
          <w:szCs w:val="21"/>
          <w:vertAlign w:val="superscript"/>
        </w:rPr>
        <w:t>6</w:t>
      </w:r>
      <w:r>
        <w:rPr>
          <w:rFonts w:eastAsiaTheme="minorEastAsia" w:hint="eastAsia"/>
          <w:sz w:val="21"/>
          <w:szCs w:val="21"/>
        </w:rPr>
        <w:t>/L</w:t>
      </w:r>
      <w:r w:rsidRPr="003015FB">
        <w:rPr>
          <w:sz w:val="21"/>
          <w:szCs w:val="21"/>
        </w:rPr>
        <w:t xml:space="preserve"> (median: 127×10</w:t>
      </w:r>
      <w:r w:rsidRPr="003015FB">
        <w:rPr>
          <w:rFonts w:eastAsiaTheme="minorEastAsia"/>
          <w:sz w:val="21"/>
          <w:szCs w:val="21"/>
          <w:vertAlign w:val="superscript"/>
        </w:rPr>
        <w:t>6</w:t>
      </w:r>
      <w:r>
        <w:rPr>
          <w:rFonts w:eastAsiaTheme="minorEastAsia"/>
          <w:sz w:val="21"/>
          <w:szCs w:val="21"/>
        </w:rPr>
        <w:t>/L</w:t>
      </w:r>
      <w:r w:rsidRPr="003015FB">
        <w:rPr>
          <w:sz w:val="21"/>
          <w:szCs w:val="21"/>
        </w:rPr>
        <w:t>), and protein levels from 0.08-2.2g/L (median: 0.2g/L). All patients received treatment with steroids, IVIG, and/or mycophenolate. Symptoms improved in all but Patient 5, who died from gastrointestinal hemorrhage. Patient 6 had a less favorable response to treatment with paraplegia persisting at six-month follow-up (</w:t>
      </w:r>
      <w:r>
        <w:rPr>
          <w:sz w:val="21"/>
          <w:szCs w:val="21"/>
        </w:rPr>
        <w:t xml:space="preserve">Supplementary </w:t>
      </w:r>
      <w:r w:rsidRPr="003015FB">
        <w:rPr>
          <w:sz w:val="21"/>
          <w:szCs w:val="21"/>
        </w:rPr>
        <w:t xml:space="preserve">Table 1). </w:t>
      </w:r>
    </w:p>
    <w:p w14:paraId="46C0CD65" w14:textId="6D946E56" w:rsidR="00C925DD" w:rsidRDefault="00C925DD" w:rsidP="00C925DD">
      <w:pPr>
        <w:pStyle w:val="a3"/>
        <w:spacing w:line="276" w:lineRule="auto"/>
        <w:rPr>
          <w:sz w:val="21"/>
          <w:szCs w:val="21"/>
        </w:rPr>
      </w:pPr>
    </w:p>
    <w:p w14:paraId="7259C07E" w14:textId="783A874C" w:rsidR="00C925DD" w:rsidRDefault="00C925DD" w:rsidP="00C925DD">
      <w:pPr>
        <w:pStyle w:val="a3"/>
        <w:spacing w:line="276" w:lineRule="auto"/>
        <w:rPr>
          <w:sz w:val="21"/>
          <w:szCs w:val="21"/>
        </w:rPr>
      </w:pPr>
    </w:p>
    <w:p w14:paraId="7865739B" w14:textId="6710EB08" w:rsidR="00C925DD" w:rsidRDefault="00C925DD" w:rsidP="00C925DD">
      <w:pPr>
        <w:pStyle w:val="a3"/>
        <w:spacing w:line="276" w:lineRule="auto"/>
        <w:rPr>
          <w:sz w:val="21"/>
          <w:szCs w:val="21"/>
        </w:rPr>
      </w:pPr>
    </w:p>
    <w:p w14:paraId="0F157723" w14:textId="45883C67" w:rsidR="00C925DD" w:rsidRDefault="00C925DD" w:rsidP="00C925DD">
      <w:pPr>
        <w:pStyle w:val="a3"/>
        <w:spacing w:line="276" w:lineRule="auto"/>
        <w:rPr>
          <w:sz w:val="21"/>
          <w:szCs w:val="21"/>
        </w:rPr>
      </w:pPr>
    </w:p>
    <w:p w14:paraId="16820839" w14:textId="15822D27" w:rsidR="00C925DD" w:rsidRDefault="00C925DD" w:rsidP="00C925DD">
      <w:pPr>
        <w:pStyle w:val="a3"/>
        <w:spacing w:line="276" w:lineRule="auto"/>
        <w:rPr>
          <w:sz w:val="21"/>
          <w:szCs w:val="21"/>
        </w:rPr>
      </w:pPr>
    </w:p>
    <w:p w14:paraId="3E0AFEB8" w14:textId="46DAB29C" w:rsidR="00C925DD" w:rsidRDefault="00C925DD" w:rsidP="00C925DD">
      <w:pPr>
        <w:pStyle w:val="a3"/>
        <w:spacing w:line="276" w:lineRule="auto"/>
        <w:rPr>
          <w:sz w:val="21"/>
          <w:szCs w:val="21"/>
        </w:rPr>
      </w:pPr>
    </w:p>
    <w:p w14:paraId="4F02D560" w14:textId="3AC0A163" w:rsidR="00C925DD" w:rsidRDefault="00C925DD" w:rsidP="00C925DD">
      <w:pPr>
        <w:pStyle w:val="a3"/>
        <w:spacing w:line="276" w:lineRule="auto"/>
        <w:rPr>
          <w:sz w:val="21"/>
          <w:szCs w:val="21"/>
        </w:rPr>
      </w:pPr>
    </w:p>
    <w:p w14:paraId="0F5F6EE6" w14:textId="145B749C" w:rsidR="006C7FB2" w:rsidRDefault="006C7FB2"/>
    <w:p w14:paraId="337DD531" w14:textId="77777777" w:rsidR="00796C4D" w:rsidRDefault="00796C4D"/>
    <w:tbl>
      <w:tblPr>
        <w:tblW w:w="9238" w:type="dxa"/>
        <w:tblInd w:w="113" w:type="dxa"/>
        <w:tblLayout w:type="fixed"/>
        <w:tblLook w:val="04A0" w:firstRow="1" w:lastRow="0" w:firstColumn="1" w:lastColumn="0" w:noHBand="0" w:noVBand="1"/>
      </w:tblPr>
      <w:tblGrid>
        <w:gridCol w:w="505"/>
        <w:gridCol w:w="792"/>
        <w:gridCol w:w="668"/>
        <w:gridCol w:w="1386"/>
        <w:gridCol w:w="579"/>
        <w:gridCol w:w="601"/>
        <w:gridCol w:w="851"/>
        <w:gridCol w:w="850"/>
        <w:gridCol w:w="943"/>
        <w:gridCol w:w="1104"/>
        <w:gridCol w:w="959"/>
      </w:tblGrid>
      <w:tr w:rsidR="00C925DD" w:rsidRPr="00C37244" w14:paraId="524C5620" w14:textId="77777777" w:rsidTr="00796C4D">
        <w:trPr>
          <w:trHeight w:val="170"/>
        </w:trPr>
        <w:tc>
          <w:tcPr>
            <w:tcW w:w="50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DC8E4C9" w14:textId="77777777" w:rsidR="00C925DD" w:rsidRPr="00C37244" w:rsidRDefault="00C925DD" w:rsidP="00D64FA7">
            <w:pPr>
              <w:jc w:val="center"/>
              <w:rPr>
                <w:rFonts w:ascii="Times New Roman" w:eastAsia="Times New Roman" w:hAnsi="Times New Roman" w:cs="Times New Roman"/>
                <w:b/>
                <w:bCs/>
                <w:color w:val="000000" w:themeColor="text1"/>
                <w:sz w:val="14"/>
                <w:szCs w:val="14"/>
              </w:rPr>
            </w:pPr>
            <w:r w:rsidRPr="00C37244">
              <w:rPr>
                <w:rFonts w:ascii="Times New Roman" w:eastAsia="Times New Roman" w:hAnsi="Times New Roman" w:cs="Times New Roman"/>
                <w:b/>
                <w:bCs/>
                <w:color w:val="000000" w:themeColor="text1"/>
                <w:sz w:val="14"/>
                <w:szCs w:val="14"/>
              </w:rPr>
              <w:t>Case No.</w:t>
            </w:r>
          </w:p>
        </w:tc>
        <w:tc>
          <w:tcPr>
            <w:tcW w:w="7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EFDE894" w14:textId="77777777" w:rsidR="00C925DD" w:rsidRPr="00C37244" w:rsidRDefault="00C925DD" w:rsidP="00D64FA7">
            <w:pPr>
              <w:jc w:val="center"/>
              <w:rPr>
                <w:rFonts w:ascii="Times New Roman" w:hAnsi="Times New Roman" w:cs="Times New Roman"/>
                <w:b/>
                <w:bCs/>
                <w:color w:val="000000" w:themeColor="text1"/>
                <w:sz w:val="14"/>
                <w:szCs w:val="14"/>
              </w:rPr>
            </w:pPr>
            <w:r w:rsidRPr="00C37244">
              <w:rPr>
                <w:rFonts w:ascii="Times New Roman" w:hAnsi="Times New Roman" w:cs="Times New Roman"/>
                <w:b/>
                <w:bCs/>
                <w:color w:val="000000" w:themeColor="text1"/>
                <w:sz w:val="14"/>
                <w:szCs w:val="14"/>
              </w:rPr>
              <w:t>Article</w:t>
            </w:r>
          </w:p>
        </w:tc>
        <w:tc>
          <w:tcPr>
            <w:tcW w:w="66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DD075BE" w14:textId="77777777" w:rsidR="00C925DD" w:rsidRPr="00C37244" w:rsidRDefault="00C925DD" w:rsidP="00D64FA7">
            <w:pPr>
              <w:jc w:val="center"/>
              <w:rPr>
                <w:rFonts w:ascii="Times New Roman" w:eastAsia="Times New Roman" w:hAnsi="Times New Roman" w:cs="Times New Roman"/>
                <w:b/>
                <w:bCs/>
                <w:color w:val="000000" w:themeColor="text1"/>
                <w:sz w:val="14"/>
                <w:szCs w:val="14"/>
              </w:rPr>
            </w:pPr>
            <w:r w:rsidRPr="00C37244">
              <w:rPr>
                <w:rFonts w:ascii="Times New Roman" w:eastAsia="Times New Roman" w:hAnsi="Times New Roman" w:cs="Times New Roman"/>
                <w:b/>
                <w:bCs/>
                <w:color w:val="000000" w:themeColor="text1"/>
                <w:sz w:val="14"/>
                <w:szCs w:val="14"/>
              </w:rPr>
              <w:t>Age and Gender</w:t>
            </w:r>
          </w:p>
        </w:tc>
        <w:tc>
          <w:tcPr>
            <w:tcW w:w="1386"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141DD27" w14:textId="77777777" w:rsidR="00C925DD" w:rsidRPr="00C37244" w:rsidRDefault="00C925DD" w:rsidP="00D64FA7">
            <w:pPr>
              <w:jc w:val="center"/>
              <w:rPr>
                <w:rFonts w:ascii="Times New Roman" w:eastAsia="Times New Roman" w:hAnsi="Times New Roman" w:cs="Times New Roman"/>
                <w:b/>
                <w:bCs/>
                <w:color w:val="000000" w:themeColor="text1"/>
                <w:sz w:val="14"/>
                <w:szCs w:val="14"/>
              </w:rPr>
            </w:pPr>
            <w:r w:rsidRPr="00C37244">
              <w:rPr>
                <w:rFonts w:ascii="Times New Roman" w:eastAsia="Times New Roman" w:hAnsi="Times New Roman" w:cs="Times New Roman"/>
                <w:b/>
                <w:bCs/>
                <w:color w:val="000000" w:themeColor="text1"/>
                <w:sz w:val="14"/>
                <w:szCs w:val="14"/>
              </w:rPr>
              <w:t>Sym</w:t>
            </w:r>
            <w:r w:rsidRPr="00C37244">
              <w:rPr>
                <w:rFonts w:ascii="Times New Roman" w:hAnsi="Times New Roman" w:cs="Times New Roman"/>
                <w:b/>
                <w:bCs/>
                <w:color w:val="000000" w:themeColor="text1"/>
                <w:sz w:val="14"/>
                <w:szCs w:val="14"/>
              </w:rPr>
              <w:t>p</w:t>
            </w:r>
            <w:r w:rsidRPr="00C37244">
              <w:rPr>
                <w:rFonts w:ascii="Times New Roman" w:eastAsia="Times New Roman" w:hAnsi="Times New Roman" w:cs="Times New Roman"/>
                <w:b/>
                <w:bCs/>
                <w:color w:val="000000" w:themeColor="text1"/>
                <w:sz w:val="14"/>
                <w:szCs w:val="14"/>
              </w:rPr>
              <w:t>toms Since Disease Onset</w:t>
            </w:r>
          </w:p>
        </w:tc>
        <w:tc>
          <w:tcPr>
            <w:tcW w:w="1180" w:type="dxa"/>
            <w:gridSpan w:val="2"/>
            <w:tcBorders>
              <w:top w:val="single" w:sz="4" w:space="0" w:color="auto"/>
              <w:left w:val="nil"/>
              <w:bottom w:val="single" w:sz="4" w:space="0" w:color="auto"/>
              <w:right w:val="single" w:sz="4" w:space="0" w:color="auto"/>
            </w:tcBorders>
            <w:shd w:val="clear" w:color="auto" w:fill="auto"/>
            <w:vAlign w:val="bottom"/>
          </w:tcPr>
          <w:p w14:paraId="06CE0700" w14:textId="77777777" w:rsidR="00C925DD" w:rsidRPr="00C37244" w:rsidRDefault="00C925DD" w:rsidP="00D64FA7">
            <w:pPr>
              <w:jc w:val="center"/>
              <w:rPr>
                <w:rFonts w:ascii="Times New Roman" w:eastAsia="Times New Roman" w:hAnsi="Times New Roman" w:cs="Times New Roman"/>
                <w:b/>
                <w:bCs/>
                <w:color w:val="000000" w:themeColor="text1"/>
                <w:sz w:val="14"/>
                <w:szCs w:val="14"/>
              </w:rPr>
            </w:pPr>
            <w:r w:rsidRPr="00C37244">
              <w:rPr>
                <w:rFonts w:ascii="Times New Roman" w:eastAsia="Times New Roman" w:hAnsi="Times New Roman" w:cs="Times New Roman"/>
                <w:b/>
                <w:bCs/>
                <w:color w:val="000000" w:themeColor="text1"/>
                <w:sz w:val="14"/>
                <w:szCs w:val="14"/>
              </w:rPr>
              <w:t>EBV Detection Method</w:t>
            </w:r>
          </w:p>
        </w:tc>
        <w:tc>
          <w:tcPr>
            <w:tcW w:w="1701" w:type="dxa"/>
            <w:gridSpan w:val="2"/>
            <w:tcBorders>
              <w:top w:val="single" w:sz="4" w:space="0" w:color="auto"/>
              <w:left w:val="nil"/>
              <w:bottom w:val="single" w:sz="4" w:space="0" w:color="auto"/>
              <w:right w:val="single" w:sz="4" w:space="0" w:color="auto"/>
            </w:tcBorders>
            <w:shd w:val="clear" w:color="auto" w:fill="auto"/>
            <w:vAlign w:val="bottom"/>
          </w:tcPr>
          <w:p w14:paraId="28EF38C8" w14:textId="77777777" w:rsidR="00C925DD" w:rsidRPr="00C37244" w:rsidRDefault="00C925DD" w:rsidP="00D64FA7">
            <w:pPr>
              <w:jc w:val="center"/>
              <w:rPr>
                <w:rFonts w:ascii="Times New Roman" w:eastAsia="Times New Roman" w:hAnsi="Times New Roman" w:cs="Times New Roman"/>
                <w:b/>
                <w:bCs/>
                <w:color w:val="000000" w:themeColor="text1"/>
                <w:sz w:val="14"/>
                <w:szCs w:val="14"/>
              </w:rPr>
            </w:pPr>
            <w:r w:rsidRPr="00C37244">
              <w:rPr>
                <w:rFonts w:ascii="Times New Roman" w:eastAsia="Times New Roman" w:hAnsi="Times New Roman" w:cs="Times New Roman"/>
                <w:b/>
                <w:bCs/>
                <w:color w:val="000000" w:themeColor="text1"/>
                <w:sz w:val="14"/>
                <w:szCs w:val="14"/>
              </w:rPr>
              <w:t>CSF Analysis</w:t>
            </w:r>
          </w:p>
        </w:tc>
        <w:tc>
          <w:tcPr>
            <w:tcW w:w="94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C6229D1" w14:textId="77777777" w:rsidR="00C925DD" w:rsidRPr="00C37244" w:rsidRDefault="00C925DD" w:rsidP="00D64FA7">
            <w:pPr>
              <w:jc w:val="center"/>
              <w:rPr>
                <w:rFonts w:ascii="Times New Roman" w:eastAsia="Times New Roman" w:hAnsi="Times New Roman" w:cs="Times New Roman"/>
                <w:b/>
                <w:bCs/>
                <w:color w:val="000000" w:themeColor="text1"/>
                <w:sz w:val="14"/>
                <w:szCs w:val="14"/>
              </w:rPr>
            </w:pPr>
            <w:r w:rsidRPr="00C37244">
              <w:rPr>
                <w:rFonts w:ascii="Times New Roman" w:eastAsia="Times New Roman" w:hAnsi="Times New Roman" w:cs="Times New Roman"/>
                <w:b/>
                <w:bCs/>
                <w:color w:val="000000" w:themeColor="text1"/>
                <w:sz w:val="14"/>
                <w:szCs w:val="14"/>
              </w:rPr>
              <w:t>Day of First Detection of GFAP-</w:t>
            </w:r>
            <w:r w:rsidRPr="00C37244">
              <w:rPr>
                <w:rFonts w:ascii="Times New Roman" w:hAnsi="Times New Roman" w:cs="Times New Roman"/>
                <w:b/>
                <w:bCs/>
                <w:color w:val="000000" w:themeColor="text1"/>
                <w:sz w:val="14"/>
                <w:szCs w:val="14"/>
              </w:rPr>
              <w:t>IgG</w:t>
            </w:r>
            <w:r w:rsidRPr="00C37244">
              <w:rPr>
                <w:rFonts w:ascii="Times New Roman" w:eastAsia="Times New Roman" w:hAnsi="Times New Roman" w:cs="Times New Roman"/>
                <w:b/>
                <w:bCs/>
                <w:color w:val="000000" w:themeColor="text1"/>
                <w:sz w:val="14"/>
                <w:szCs w:val="14"/>
              </w:rPr>
              <w:t xml:space="preserve"> (day)</w:t>
            </w:r>
          </w:p>
        </w:tc>
        <w:tc>
          <w:tcPr>
            <w:tcW w:w="11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CEB3CF9" w14:textId="77777777" w:rsidR="00C925DD" w:rsidRPr="00C37244" w:rsidRDefault="00C925DD" w:rsidP="00D64FA7">
            <w:pPr>
              <w:jc w:val="center"/>
              <w:rPr>
                <w:rFonts w:ascii="Times New Roman" w:eastAsia="Times New Roman" w:hAnsi="Times New Roman" w:cs="Times New Roman"/>
                <w:b/>
                <w:bCs/>
                <w:color w:val="000000" w:themeColor="text1"/>
                <w:sz w:val="14"/>
                <w:szCs w:val="14"/>
              </w:rPr>
            </w:pPr>
            <w:r w:rsidRPr="00C37244">
              <w:rPr>
                <w:rFonts w:ascii="Times New Roman" w:eastAsia="Times New Roman" w:hAnsi="Times New Roman" w:cs="Times New Roman"/>
                <w:b/>
                <w:bCs/>
                <w:color w:val="000000" w:themeColor="text1"/>
                <w:sz w:val="14"/>
                <w:szCs w:val="14"/>
              </w:rPr>
              <w:t>Treatment Regime</w:t>
            </w:r>
          </w:p>
        </w:tc>
        <w:tc>
          <w:tcPr>
            <w:tcW w:w="95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78EF4A6" w14:textId="77777777" w:rsidR="00C925DD" w:rsidRPr="00C37244" w:rsidRDefault="00C925DD" w:rsidP="00D64FA7">
            <w:pPr>
              <w:jc w:val="center"/>
              <w:rPr>
                <w:rFonts w:ascii="Times New Roman" w:eastAsia="Times New Roman" w:hAnsi="Times New Roman" w:cs="Times New Roman"/>
                <w:b/>
                <w:bCs/>
                <w:color w:val="000000" w:themeColor="text1"/>
                <w:sz w:val="14"/>
                <w:szCs w:val="14"/>
              </w:rPr>
            </w:pPr>
            <w:r w:rsidRPr="00C37244">
              <w:rPr>
                <w:rFonts w:ascii="Times New Roman" w:eastAsia="Times New Roman" w:hAnsi="Times New Roman" w:cs="Times New Roman"/>
                <w:b/>
                <w:bCs/>
                <w:color w:val="000000" w:themeColor="text1"/>
                <w:sz w:val="14"/>
                <w:szCs w:val="14"/>
              </w:rPr>
              <w:t>Outcome</w:t>
            </w:r>
          </w:p>
        </w:tc>
      </w:tr>
      <w:tr w:rsidR="00C925DD" w:rsidRPr="00C37244" w14:paraId="6E9E45A8" w14:textId="77777777" w:rsidTr="00796C4D">
        <w:trPr>
          <w:trHeight w:val="282"/>
        </w:trPr>
        <w:tc>
          <w:tcPr>
            <w:tcW w:w="505" w:type="dxa"/>
            <w:vMerge/>
            <w:tcBorders>
              <w:top w:val="single" w:sz="4" w:space="0" w:color="auto"/>
              <w:left w:val="single" w:sz="4" w:space="0" w:color="auto"/>
              <w:bottom w:val="single" w:sz="4" w:space="0" w:color="auto"/>
              <w:right w:val="single" w:sz="4" w:space="0" w:color="auto"/>
            </w:tcBorders>
            <w:vAlign w:val="center"/>
          </w:tcPr>
          <w:p w14:paraId="5590F0F3" w14:textId="77777777" w:rsidR="00C925DD" w:rsidRPr="00C37244" w:rsidRDefault="00C925DD" w:rsidP="00D64FA7">
            <w:pPr>
              <w:rPr>
                <w:rFonts w:ascii="Times New Roman" w:eastAsia="Times New Roman" w:hAnsi="Times New Roman" w:cs="Times New Roman"/>
                <w:b/>
                <w:bCs/>
                <w:color w:val="000000" w:themeColor="text1"/>
                <w:sz w:val="12"/>
                <w:szCs w:val="12"/>
              </w:rPr>
            </w:pPr>
          </w:p>
        </w:tc>
        <w:tc>
          <w:tcPr>
            <w:tcW w:w="792" w:type="dxa"/>
            <w:vMerge/>
            <w:tcBorders>
              <w:top w:val="single" w:sz="4" w:space="0" w:color="auto"/>
              <w:left w:val="single" w:sz="4" w:space="0" w:color="auto"/>
              <w:bottom w:val="single" w:sz="4" w:space="0" w:color="auto"/>
              <w:right w:val="single" w:sz="4" w:space="0" w:color="auto"/>
            </w:tcBorders>
            <w:vAlign w:val="center"/>
          </w:tcPr>
          <w:p w14:paraId="347886A0" w14:textId="77777777" w:rsidR="00C925DD" w:rsidRPr="00C37244" w:rsidRDefault="00C925DD" w:rsidP="00D64FA7">
            <w:pPr>
              <w:rPr>
                <w:rFonts w:ascii="Times New Roman" w:eastAsia="Times New Roman" w:hAnsi="Times New Roman" w:cs="Times New Roman"/>
                <w:b/>
                <w:bCs/>
                <w:color w:val="000000" w:themeColor="text1"/>
                <w:sz w:val="12"/>
                <w:szCs w:val="12"/>
              </w:rPr>
            </w:pPr>
          </w:p>
        </w:tc>
        <w:tc>
          <w:tcPr>
            <w:tcW w:w="668" w:type="dxa"/>
            <w:vMerge/>
            <w:tcBorders>
              <w:top w:val="single" w:sz="4" w:space="0" w:color="auto"/>
              <w:left w:val="single" w:sz="4" w:space="0" w:color="auto"/>
              <w:bottom w:val="single" w:sz="4" w:space="0" w:color="auto"/>
              <w:right w:val="single" w:sz="4" w:space="0" w:color="auto"/>
            </w:tcBorders>
            <w:vAlign w:val="center"/>
          </w:tcPr>
          <w:p w14:paraId="0ED174A1" w14:textId="77777777" w:rsidR="00C925DD" w:rsidRPr="00C37244" w:rsidRDefault="00C925DD" w:rsidP="00D64FA7">
            <w:pPr>
              <w:rPr>
                <w:rFonts w:ascii="Times New Roman" w:eastAsia="Times New Roman" w:hAnsi="Times New Roman" w:cs="Times New Roman"/>
                <w:b/>
                <w:bCs/>
                <w:color w:val="000000" w:themeColor="text1"/>
                <w:sz w:val="12"/>
                <w:szCs w:val="12"/>
              </w:rPr>
            </w:pPr>
          </w:p>
        </w:tc>
        <w:tc>
          <w:tcPr>
            <w:tcW w:w="1386" w:type="dxa"/>
            <w:vMerge/>
            <w:tcBorders>
              <w:top w:val="single" w:sz="4" w:space="0" w:color="auto"/>
              <w:left w:val="single" w:sz="4" w:space="0" w:color="auto"/>
              <w:bottom w:val="single" w:sz="4" w:space="0" w:color="auto"/>
              <w:right w:val="single" w:sz="4" w:space="0" w:color="auto"/>
            </w:tcBorders>
            <w:vAlign w:val="center"/>
          </w:tcPr>
          <w:p w14:paraId="1474096D" w14:textId="77777777" w:rsidR="00C925DD" w:rsidRPr="00C37244" w:rsidRDefault="00C925DD" w:rsidP="00D64FA7">
            <w:pPr>
              <w:rPr>
                <w:rFonts w:ascii="Times New Roman" w:eastAsia="Times New Roman" w:hAnsi="Times New Roman" w:cs="Times New Roman"/>
                <w:b/>
                <w:bCs/>
                <w:color w:val="000000" w:themeColor="text1"/>
                <w:sz w:val="14"/>
                <w:szCs w:val="14"/>
              </w:rPr>
            </w:pPr>
          </w:p>
        </w:tc>
        <w:tc>
          <w:tcPr>
            <w:tcW w:w="579" w:type="dxa"/>
            <w:tcBorders>
              <w:top w:val="nil"/>
              <w:left w:val="nil"/>
              <w:bottom w:val="single" w:sz="4" w:space="0" w:color="auto"/>
              <w:right w:val="single" w:sz="4" w:space="0" w:color="auto"/>
            </w:tcBorders>
            <w:shd w:val="clear" w:color="auto" w:fill="auto"/>
            <w:vAlign w:val="center"/>
          </w:tcPr>
          <w:p w14:paraId="429A5245" w14:textId="77777777" w:rsidR="00C925DD" w:rsidRPr="00C37244" w:rsidRDefault="00C925DD" w:rsidP="00D64FA7">
            <w:pPr>
              <w:rPr>
                <w:rFonts w:ascii="Times New Roman" w:eastAsia="Times New Roman" w:hAnsi="Times New Roman" w:cs="Times New Roman"/>
                <w:b/>
                <w:bCs/>
                <w:color w:val="000000" w:themeColor="text1"/>
                <w:sz w:val="12"/>
                <w:szCs w:val="12"/>
              </w:rPr>
            </w:pPr>
            <w:r w:rsidRPr="00C37244">
              <w:rPr>
                <w:rFonts w:ascii="Times New Roman" w:eastAsia="Times New Roman" w:hAnsi="Times New Roman" w:cs="Times New Roman"/>
                <w:b/>
                <w:bCs/>
                <w:color w:val="000000" w:themeColor="text1"/>
                <w:sz w:val="12"/>
                <w:szCs w:val="12"/>
              </w:rPr>
              <w:t>mNGS (read)</w:t>
            </w:r>
          </w:p>
        </w:tc>
        <w:tc>
          <w:tcPr>
            <w:tcW w:w="601" w:type="dxa"/>
            <w:tcBorders>
              <w:top w:val="nil"/>
              <w:left w:val="nil"/>
              <w:bottom w:val="single" w:sz="4" w:space="0" w:color="auto"/>
              <w:right w:val="single" w:sz="4" w:space="0" w:color="auto"/>
            </w:tcBorders>
            <w:shd w:val="clear" w:color="auto" w:fill="auto"/>
            <w:vAlign w:val="center"/>
          </w:tcPr>
          <w:p w14:paraId="3552F955" w14:textId="77777777" w:rsidR="00C925DD" w:rsidRPr="00C37244" w:rsidRDefault="00C925DD" w:rsidP="00D64FA7">
            <w:pPr>
              <w:jc w:val="center"/>
              <w:rPr>
                <w:rFonts w:ascii="Times New Roman" w:eastAsia="Times New Roman" w:hAnsi="Times New Roman" w:cs="Times New Roman"/>
                <w:b/>
                <w:bCs/>
                <w:color w:val="000000" w:themeColor="text1"/>
                <w:sz w:val="12"/>
                <w:szCs w:val="12"/>
              </w:rPr>
            </w:pPr>
            <w:r w:rsidRPr="00C37244">
              <w:rPr>
                <w:rFonts w:ascii="Times New Roman" w:eastAsia="Times New Roman" w:hAnsi="Times New Roman" w:cs="Times New Roman"/>
                <w:b/>
                <w:bCs/>
                <w:color w:val="000000" w:themeColor="text1"/>
                <w:sz w:val="12"/>
                <w:szCs w:val="12"/>
              </w:rPr>
              <w:t>PCR (copy/mL)</w:t>
            </w:r>
          </w:p>
        </w:tc>
        <w:tc>
          <w:tcPr>
            <w:tcW w:w="851" w:type="dxa"/>
            <w:tcBorders>
              <w:top w:val="nil"/>
              <w:left w:val="nil"/>
              <w:bottom w:val="single" w:sz="4" w:space="0" w:color="auto"/>
              <w:right w:val="single" w:sz="4" w:space="0" w:color="auto"/>
            </w:tcBorders>
            <w:shd w:val="clear" w:color="auto" w:fill="auto"/>
            <w:vAlign w:val="center"/>
          </w:tcPr>
          <w:p w14:paraId="4B340AAB" w14:textId="77777777" w:rsidR="00C925DD" w:rsidRPr="00C37244" w:rsidRDefault="00C925DD" w:rsidP="00D64FA7">
            <w:pPr>
              <w:jc w:val="center"/>
              <w:rPr>
                <w:rFonts w:ascii="Times New Roman" w:eastAsia="Times New Roman" w:hAnsi="Times New Roman" w:cs="Times New Roman"/>
                <w:b/>
                <w:bCs/>
                <w:color w:val="000000" w:themeColor="text1"/>
                <w:sz w:val="12"/>
                <w:szCs w:val="12"/>
              </w:rPr>
            </w:pPr>
            <w:r w:rsidRPr="00C37244">
              <w:rPr>
                <w:rFonts w:ascii="Times New Roman" w:eastAsia="Times New Roman" w:hAnsi="Times New Roman" w:cs="Times New Roman"/>
                <w:b/>
                <w:bCs/>
                <w:color w:val="000000" w:themeColor="text1"/>
                <w:sz w:val="12"/>
                <w:szCs w:val="12"/>
              </w:rPr>
              <w:t>Maximum Cell Count (10</w:t>
            </w:r>
            <w:r w:rsidRPr="00C37244">
              <w:rPr>
                <w:rFonts w:ascii="Times New Roman" w:eastAsia="Times New Roman" w:hAnsi="Times New Roman" w:cs="Times New Roman"/>
                <w:b/>
                <w:bCs/>
                <w:color w:val="000000" w:themeColor="text1"/>
                <w:sz w:val="12"/>
                <w:szCs w:val="12"/>
                <w:vertAlign w:val="superscript"/>
              </w:rPr>
              <w:t>6</w:t>
            </w:r>
            <w:r w:rsidRPr="00C37244">
              <w:rPr>
                <w:rFonts w:ascii="Times New Roman" w:eastAsia="Times New Roman" w:hAnsi="Times New Roman" w:cs="Times New Roman"/>
                <w:b/>
                <w:bCs/>
                <w:color w:val="000000" w:themeColor="text1"/>
                <w:sz w:val="12"/>
                <w:szCs w:val="12"/>
              </w:rPr>
              <w:t>/L)</w:t>
            </w:r>
          </w:p>
        </w:tc>
        <w:tc>
          <w:tcPr>
            <w:tcW w:w="850" w:type="dxa"/>
            <w:tcBorders>
              <w:top w:val="nil"/>
              <w:left w:val="nil"/>
              <w:bottom w:val="single" w:sz="4" w:space="0" w:color="auto"/>
              <w:right w:val="single" w:sz="4" w:space="0" w:color="auto"/>
            </w:tcBorders>
            <w:shd w:val="clear" w:color="auto" w:fill="auto"/>
            <w:vAlign w:val="center"/>
          </w:tcPr>
          <w:p w14:paraId="268A2554" w14:textId="77777777" w:rsidR="00C925DD" w:rsidRPr="00C37244" w:rsidRDefault="00C925DD" w:rsidP="00D64FA7">
            <w:pPr>
              <w:jc w:val="center"/>
              <w:rPr>
                <w:rFonts w:ascii="Times New Roman" w:eastAsia="Times New Roman" w:hAnsi="Times New Roman" w:cs="Times New Roman"/>
                <w:b/>
                <w:bCs/>
                <w:color w:val="000000" w:themeColor="text1"/>
                <w:sz w:val="12"/>
                <w:szCs w:val="12"/>
              </w:rPr>
            </w:pPr>
            <w:r w:rsidRPr="00C37244">
              <w:rPr>
                <w:rFonts w:ascii="Times New Roman" w:eastAsia="Times New Roman" w:hAnsi="Times New Roman" w:cs="Times New Roman"/>
                <w:b/>
                <w:bCs/>
                <w:color w:val="000000" w:themeColor="text1"/>
                <w:sz w:val="12"/>
                <w:szCs w:val="12"/>
              </w:rPr>
              <w:t>Maximum Protein (g/L)</w:t>
            </w:r>
          </w:p>
        </w:tc>
        <w:tc>
          <w:tcPr>
            <w:tcW w:w="943" w:type="dxa"/>
            <w:vMerge/>
            <w:tcBorders>
              <w:top w:val="single" w:sz="4" w:space="0" w:color="auto"/>
              <w:left w:val="single" w:sz="4" w:space="0" w:color="auto"/>
              <w:bottom w:val="single" w:sz="4" w:space="0" w:color="auto"/>
              <w:right w:val="single" w:sz="4" w:space="0" w:color="auto"/>
            </w:tcBorders>
            <w:vAlign w:val="center"/>
          </w:tcPr>
          <w:p w14:paraId="1CC6CDE0" w14:textId="77777777" w:rsidR="00C925DD" w:rsidRPr="00C37244" w:rsidRDefault="00C925DD" w:rsidP="00D64FA7">
            <w:pPr>
              <w:rPr>
                <w:rFonts w:ascii="Times New Roman" w:eastAsia="Times New Roman" w:hAnsi="Times New Roman" w:cs="Times New Roman"/>
                <w:b/>
                <w:bCs/>
                <w:color w:val="000000" w:themeColor="text1"/>
                <w:sz w:val="12"/>
                <w:szCs w:val="12"/>
              </w:rPr>
            </w:pPr>
          </w:p>
        </w:tc>
        <w:tc>
          <w:tcPr>
            <w:tcW w:w="1104" w:type="dxa"/>
            <w:vMerge/>
            <w:tcBorders>
              <w:top w:val="single" w:sz="4" w:space="0" w:color="auto"/>
              <w:left w:val="single" w:sz="4" w:space="0" w:color="auto"/>
              <w:bottom w:val="single" w:sz="4" w:space="0" w:color="auto"/>
              <w:right w:val="single" w:sz="4" w:space="0" w:color="auto"/>
            </w:tcBorders>
            <w:vAlign w:val="center"/>
          </w:tcPr>
          <w:p w14:paraId="11D4D35C" w14:textId="77777777" w:rsidR="00C925DD" w:rsidRPr="00C37244" w:rsidRDefault="00C925DD" w:rsidP="00D64FA7">
            <w:pPr>
              <w:rPr>
                <w:rFonts w:ascii="Times New Roman" w:eastAsia="Times New Roman" w:hAnsi="Times New Roman" w:cs="Times New Roman"/>
                <w:b/>
                <w:bCs/>
                <w:color w:val="000000" w:themeColor="text1"/>
                <w:sz w:val="14"/>
                <w:szCs w:val="14"/>
              </w:rPr>
            </w:pPr>
          </w:p>
        </w:tc>
        <w:tc>
          <w:tcPr>
            <w:tcW w:w="959" w:type="dxa"/>
            <w:vMerge/>
            <w:tcBorders>
              <w:top w:val="single" w:sz="4" w:space="0" w:color="auto"/>
              <w:left w:val="single" w:sz="4" w:space="0" w:color="auto"/>
              <w:bottom w:val="single" w:sz="4" w:space="0" w:color="auto"/>
              <w:right w:val="single" w:sz="4" w:space="0" w:color="auto"/>
            </w:tcBorders>
            <w:vAlign w:val="center"/>
          </w:tcPr>
          <w:p w14:paraId="2CBD20C1" w14:textId="77777777" w:rsidR="00C925DD" w:rsidRPr="00C37244" w:rsidRDefault="00C925DD" w:rsidP="00D64FA7">
            <w:pPr>
              <w:rPr>
                <w:rFonts w:ascii="Times New Roman" w:eastAsia="Times New Roman" w:hAnsi="Times New Roman" w:cs="Times New Roman"/>
                <w:b/>
                <w:bCs/>
                <w:color w:val="000000" w:themeColor="text1"/>
                <w:sz w:val="12"/>
                <w:szCs w:val="12"/>
              </w:rPr>
            </w:pPr>
          </w:p>
        </w:tc>
      </w:tr>
      <w:tr w:rsidR="00C925DD" w:rsidRPr="00C37244" w14:paraId="71CDD0B6" w14:textId="77777777" w:rsidTr="00796C4D">
        <w:trPr>
          <w:trHeight w:val="855"/>
        </w:trPr>
        <w:tc>
          <w:tcPr>
            <w:tcW w:w="505" w:type="dxa"/>
            <w:tcBorders>
              <w:top w:val="nil"/>
              <w:left w:val="single" w:sz="4" w:space="0" w:color="auto"/>
              <w:bottom w:val="single" w:sz="4" w:space="0" w:color="auto"/>
              <w:right w:val="single" w:sz="4" w:space="0" w:color="auto"/>
            </w:tcBorders>
            <w:shd w:val="clear" w:color="auto" w:fill="auto"/>
            <w:vAlign w:val="center"/>
          </w:tcPr>
          <w:p w14:paraId="48E32B0D"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1</w:t>
            </w:r>
          </w:p>
        </w:tc>
        <w:tc>
          <w:tcPr>
            <w:tcW w:w="792" w:type="dxa"/>
            <w:vMerge w:val="restart"/>
            <w:tcBorders>
              <w:top w:val="nil"/>
              <w:left w:val="single" w:sz="4" w:space="0" w:color="auto"/>
              <w:bottom w:val="single" w:sz="4" w:space="0" w:color="auto"/>
              <w:right w:val="single" w:sz="4" w:space="0" w:color="auto"/>
            </w:tcBorders>
            <w:shd w:val="clear" w:color="auto" w:fill="auto"/>
            <w:vAlign w:val="center"/>
          </w:tcPr>
          <w:p w14:paraId="4DF776A7" w14:textId="515959FC" w:rsidR="00C925DD" w:rsidRPr="00C9145C" w:rsidRDefault="00C925DD" w:rsidP="00D64FA7">
            <w:pPr>
              <w:rPr>
                <w:rFonts w:ascii="Times New Roman" w:hAnsi="Times New Roman" w:cs="Times New Roman"/>
                <w:sz w:val="14"/>
                <w:szCs w:val="14"/>
              </w:rPr>
            </w:pPr>
            <w:r w:rsidRPr="00C9145C">
              <w:rPr>
                <w:rFonts w:ascii="Times New Roman" w:eastAsia="Times New Roman" w:hAnsi="Times New Roman" w:cs="Times New Roman"/>
                <w:sz w:val="14"/>
                <w:szCs w:val="14"/>
              </w:rPr>
              <w:t>Duan, et al., 2023</w:t>
            </w:r>
            <w:r w:rsidRPr="00C9145C">
              <w:rPr>
                <w:rFonts w:ascii="Times New Roman" w:eastAsia="Times New Roman" w:hAnsi="Times New Roman" w:cs="Times New Roman"/>
                <w:sz w:val="14"/>
                <w:szCs w:val="14"/>
              </w:rPr>
              <w:fldChar w:fldCharType="begin"/>
            </w:r>
            <w:r w:rsidR="00B55664" w:rsidRPr="00C9145C">
              <w:rPr>
                <w:rFonts w:ascii="Times New Roman" w:eastAsia="Times New Roman" w:hAnsi="Times New Roman" w:cs="Times New Roman"/>
                <w:sz w:val="14"/>
                <w:szCs w:val="14"/>
              </w:rPr>
              <w:instrText xml:space="preserve"> ADDIN ZOTERO_ITEM CSL_CITATION {"citationID":"1E5aZ4Gq","properties":{"formattedCitation":"(2)","plainCitation":"(2)","noteIndex":0},"citationItems":[{"id":364,"uris":["http://zotero.org/users/11423929/items/EPPHFBAA"],"itemData":{"id":364,"type":"article-journal","abstract":"Epstein–Barr virus (EBV) could induce central nervous system (CNS) autoimmune response in autoimmune glial fibrillary acidic protein (GFAP) astrocytopathy. The potential pathogenic mechanisms including: directly invade CNS (release inflammatory cytokines IL‐6, IL‐1, et al), CD8+ T cell mediated damage, infection‐mediated immune response, and EBV reactivation.","container-title":"CNS Neuroscience &amp; Therapeutics","DOI":"10.1111/cns.14336","ISSN":"1755-5930","issue":"12","journalAbbreviation":"CNS Neurosci Ther","note":"PMID: 37458208\nPMCID: PMC10651959","page":"4139-4146","source":"PubMed Central","title":"Epstein–Barr virus: To be a trigger of autoimmune glial fibrillary acidic protein astrocytopathy?","title-short":"Epstein–Barr virus","volume":"29","author":[{"family":"Li","given":"Xiao‐Li"},{"family":"Wang","given":"Jun‐Yan"},{"family":"Li","given":"Liang‐Kang"},{"family":"Yang","given":"Chun‐Lin"},{"family":"Zhao","given":"Xue‐Lu"},{"family":"Yang","given":"Bing"},{"family":"Zhang","given":"Peng"},{"family":"Liu","given":"Bin"},{"family":"Li","given":"Yan‐Bin"},{"family":"Zhang","given":"Zhao‐Xu"},{"family":"Duan","given":"Rui‐Sheng"}],"issued":{"date-parts":[["2023",7,17]]}}}],"schema":"https://github.com/citation-style-language/schema/raw/master/csl-citation.json"} </w:instrText>
            </w:r>
            <w:r w:rsidRPr="00C9145C">
              <w:rPr>
                <w:rFonts w:ascii="Times New Roman" w:eastAsia="Times New Roman" w:hAnsi="Times New Roman" w:cs="Times New Roman"/>
                <w:sz w:val="14"/>
                <w:szCs w:val="14"/>
              </w:rPr>
              <w:fldChar w:fldCharType="separate"/>
            </w:r>
            <w:r w:rsidR="00B55664" w:rsidRPr="00C9145C">
              <w:rPr>
                <w:rFonts w:ascii="Times New Roman" w:hAnsi="Times New Roman" w:cs="Times New Roman"/>
                <w:sz w:val="14"/>
              </w:rPr>
              <w:t>(</w:t>
            </w:r>
            <w:r w:rsidR="009F7C78" w:rsidRPr="00C9145C">
              <w:rPr>
                <w:rFonts w:ascii="Times New Roman" w:hAnsi="Times New Roman" w:cs="Times New Roman" w:hint="eastAsia"/>
                <w:sz w:val="14"/>
              </w:rPr>
              <w:t>8</w:t>
            </w:r>
            <w:r w:rsidR="00B55664" w:rsidRPr="00C9145C">
              <w:rPr>
                <w:rFonts w:ascii="Times New Roman" w:hAnsi="Times New Roman" w:cs="Times New Roman"/>
                <w:sz w:val="14"/>
              </w:rPr>
              <w:t>)</w:t>
            </w:r>
            <w:r w:rsidRPr="00C9145C">
              <w:rPr>
                <w:rFonts w:ascii="Times New Roman" w:eastAsia="Times New Roman" w:hAnsi="Times New Roman" w:cs="Times New Roman"/>
                <w:sz w:val="14"/>
                <w:szCs w:val="14"/>
              </w:rPr>
              <w:fldChar w:fldCharType="end"/>
            </w:r>
          </w:p>
        </w:tc>
        <w:tc>
          <w:tcPr>
            <w:tcW w:w="668" w:type="dxa"/>
            <w:tcBorders>
              <w:top w:val="nil"/>
              <w:left w:val="nil"/>
              <w:bottom w:val="single" w:sz="4" w:space="0" w:color="auto"/>
              <w:right w:val="single" w:sz="4" w:space="0" w:color="auto"/>
            </w:tcBorders>
            <w:shd w:val="clear" w:color="auto" w:fill="auto"/>
            <w:vAlign w:val="center"/>
          </w:tcPr>
          <w:p w14:paraId="298FB1D9"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33F</w:t>
            </w:r>
          </w:p>
        </w:tc>
        <w:tc>
          <w:tcPr>
            <w:tcW w:w="1386" w:type="dxa"/>
            <w:tcBorders>
              <w:top w:val="nil"/>
              <w:left w:val="nil"/>
              <w:bottom w:val="single" w:sz="4" w:space="0" w:color="auto"/>
              <w:right w:val="single" w:sz="4" w:space="0" w:color="auto"/>
            </w:tcBorders>
            <w:shd w:val="clear" w:color="auto" w:fill="auto"/>
            <w:vAlign w:val="center"/>
          </w:tcPr>
          <w:p w14:paraId="08A688C2"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Fever, headache, cognitive dysfunction, dysphoria, limb weakness</w:t>
            </w:r>
          </w:p>
        </w:tc>
        <w:tc>
          <w:tcPr>
            <w:tcW w:w="579" w:type="dxa"/>
            <w:tcBorders>
              <w:top w:val="nil"/>
              <w:left w:val="nil"/>
              <w:bottom w:val="single" w:sz="4" w:space="0" w:color="auto"/>
              <w:right w:val="single" w:sz="4" w:space="0" w:color="auto"/>
            </w:tcBorders>
            <w:shd w:val="clear" w:color="auto" w:fill="auto"/>
            <w:vAlign w:val="center"/>
          </w:tcPr>
          <w:p w14:paraId="77D9336B"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2</w:t>
            </w:r>
          </w:p>
        </w:tc>
        <w:tc>
          <w:tcPr>
            <w:tcW w:w="601" w:type="dxa"/>
            <w:tcBorders>
              <w:top w:val="nil"/>
              <w:left w:val="nil"/>
              <w:bottom w:val="single" w:sz="4" w:space="0" w:color="auto"/>
              <w:right w:val="single" w:sz="4" w:space="0" w:color="auto"/>
            </w:tcBorders>
            <w:shd w:val="clear" w:color="auto" w:fill="auto"/>
            <w:vAlign w:val="center"/>
          </w:tcPr>
          <w:p w14:paraId="629691DF"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N/A</w:t>
            </w:r>
          </w:p>
        </w:tc>
        <w:tc>
          <w:tcPr>
            <w:tcW w:w="851" w:type="dxa"/>
            <w:tcBorders>
              <w:top w:val="nil"/>
              <w:left w:val="nil"/>
              <w:bottom w:val="single" w:sz="4" w:space="0" w:color="auto"/>
              <w:right w:val="single" w:sz="4" w:space="0" w:color="auto"/>
            </w:tcBorders>
            <w:shd w:val="clear" w:color="auto" w:fill="auto"/>
            <w:vAlign w:val="center"/>
          </w:tcPr>
          <w:p w14:paraId="4566F78C"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90</w:t>
            </w:r>
          </w:p>
        </w:tc>
        <w:tc>
          <w:tcPr>
            <w:tcW w:w="850" w:type="dxa"/>
            <w:tcBorders>
              <w:top w:val="nil"/>
              <w:left w:val="nil"/>
              <w:bottom w:val="single" w:sz="4" w:space="0" w:color="auto"/>
              <w:right w:val="single" w:sz="4" w:space="0" w:color="auto"/>
            </w:tcBorders>
            <w:shd w:val="clear" w:color="auto" w:fill="auto"/>
            <w:vAlign w:val="center"/>
          </w:tcPr>
          <w:p w14:paraId="1A33800B"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0.1</w:t>
            </w:r>
          </w:p>
        </w:tc>
        <w:tc>
          <w:tcPr>
            <w:tcW w:w="943" w:type="dxa"/>
            <w:tcBorders>
              <w:top w:val="nil"/>
              <w:left w:val="nil"/>
              <w:bottom w:val="single" w:sz="4" w:space="0" w:color="auto"/>
              <w:right w:val="single" w:sz="4" w:space="0" w:color="auto"/>
            </w:tcBorders>
            <w:shd w:val="clear" w:color="auto" w:fill="auto"/>
            <w:vAlign w:val="center"/>
          </w:tcPr>
          <w:p w14:paraId="44C3D2BA"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Unknown</w:t>
            </w:r>
          </w:p>
        </w:tc>
        <w:tc>
          <w:tcPr>
            <w:tcW w:w="1104" w:type="dxa"/>
            <w:tcBorders>
              <w:top w:val="nil"/>
              <w:left w:val="nil"/>
              <w:bottom w:val="single" w:sz="4" w:space="0" w:color="auto"/>
              <w:right w:val="single" w:sz="4" w:space="0" w:color="auto"/>
            </w:tcBorders>
            <w:shd w:val="clear" w:color="auto" w:fill="auto"/>
            <w:vAlign w:val="center"/>
          </w:tcPr>
          <w:p w14:paraId="27781445"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IV MP (0.5 g/d with tapering dose) with oral taper + MMF</w:t>
            </w:r>
          </w:p>
        </w:tc>
        <w:tc>
          <w:tcPr>
            <w:tcW w:w="959" w:type="dxa"/>
            <w:tcBorders>
              <w:top w:val="nil"/>
              <w:left w:val="nil"/>
              <w:bottom w:val="single" w:sz="4" w:space="0" w:color="auto"/>
              <w:right w:val="single" w:sz="4" w:space="0" w:color="auto"/>
            </w:tcBorders>
            <w:shd w:val="clear" w:color="auto" w:fill="auto"/>
            <w:vAlign w:val="center"/>
          </w:tcPr>
          <w:p w14:paraId="44AE67B8"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Resolved</w:t>
            </w:r>
          </w:p>
        </w:tc>
      </w:tr>
      <w:tr w:rsidR="00C925DD" w:rsidRPr="00C37244" w14:paraId="5C4F0738" w14:textId="77777777" w:rsidTr="00796C4D">
        <w:trPr>
          <w:trHeight w:val="1688"/>
        </w:trPr>
        <w:tc>
          <w:tcPr>
            <w:tcW w:w="505" w:type="dxa"/>
            <w:tcBorders>
              <w:top w:val="nil"/>
              <w:left w:val="single" w:sz="4" w:space="0" w:color="auto"/>
              <w:bottom w:val="single" w:sz="4" w:space="0" w:color="auto"/>
              <w:right w:val="single" w:sz="4" w:space="0" w:color="auto"/>
            </w:tcBorders>
            <w:shd w:val="clear" w:color="auto" w:fill="auto"/>
            <w:vAlign w:val="center"/>
          </w:tcPr>
          <w:p w14:paraId="7FCCD245"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2</w:t>
            </w:r>
          </w:p>
        </w:tc>
        <w:tc>
          <w:tcPr>
            <w:tcW w:w="792" w:type="dxa"/>
            <w:vMerge/>
            <w:tcBorders>
              <w:top w:val="nil"/>
              <w:left w:val="single" w:sz="4" w:space="0" w:color="auto"/>
              <w:bottom w:val="single" w:sz="4" w:space="0" w:color="auto"/>
              <w:right w:val="single" w:sz="4" w:space="0" w:color="auto"/>
            </w:tcBorders>
            <w:vAlign w:val="center"/>
          </w:tcPr>
          <w:p w14:paraId="6FABA084" w14:textId="77777777" w:rsidR="00C925DD" w:rsidRPr="00C9145C" w:rsidRDefault="00C925DD" w:rsidP="00D64FA7">
            <w:pPr>
              <w:rPr>
                <w:rFonts w:ascii="Times New Roman" w:eastAsia="Times New Roman" w:hAnsi="Times New Roman" w:cs="Times New Roman"/>
                <w:sz w:val="14"/>
                <w:szCs w:val="14"/>
              </w:rPr>
            </w:pPr>
          </w:p>
        </w:tc>
        <w:tc>
          <w:tcPr>
            <w:tcW w:w="668" w:type="dxa"/>
            <w:tcBorders>
              <w:top w:val="nil"/>
              <w:left w:val="nil"/>
              <w:bottom w:val="single" w:sz="4" w:space="0" w:color="auto"/>
              <w:right w:val="single" w:sz="4" w:space="0" w:color="auto"/>
            </w:tcBorders>
            <w:shd w:val="clear" w:color="auto" w:fill="auto"/>
            <w:vAlign w:val="center"/>
          </w:tcPr>
          <w:p w14:paraId="2639E71C"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60M</w:t>
            </w:r>
          </w:p>
        </w:tc>
        <w:tc>
          <w:tcPr>
            <w:tcW w:w="1386" w:type="dxa"/>
            <w:tcBorders>
              <w:top w:val="nil"/>
              <w:left w:val="nil"/>
              <w:bottom w:val="single" w:sz="4" w:space="0" w:color="auto"/>
              <w:right w:val="single" w:sz="4" w:space="0" w:color="auto"/>
            </w:tcBorders>
            <w:shd w:val="clear" w:color="auto" w:fill="auto"/>
            <w:vAlign w:val="center"/>
          </w:tcPr>
          <w:p w14:paraId="1663DA17"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Fever, abdominal pain, bloating, limb tremor and weakness, cognitive dysfunction, urinary retention, disorientation of place and time, impaired memory and comprehension</w:t>
            </w:r>
          </w:p>
        </w:tc>
        <w:tc>
          <w:tcPr>
            <w:tcW w:w="579" w:type="dxa"/>
            <w:tcBorders>
              <w:top w:val="nil"/>
              <w:left w:val="nil"/>
              <w:bottom w:val="single" w:sz="4" w:space="0" w:color="auto"/>
              <w:right w:val="single" w:sz="4" w:space="0" w:color="auto"/>
            </w:tcBorders>
            <w:shd w:val="clear" w:color="auto" w:fill="auto"/>
            <w:vAlign w:val="center"/>
          </w:tcPr>
          <w:p w14:paraId="0FB271AF"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1</w:t>
            </w:r>
          </w:p>
        </w:tc>
        <w:tc>
          <w:tcPr>
            <w:tcW w:w="601" w:type="dxa"/>
            <w:tcBorders>
              <w:top w:val="nil"/>
              <w:left w:val="nil"/>
              <w:bottom w:val="single" w:sz="4" w:space="0" w:color="auto"/>
              <w:right w:val="single" w:sz="4" w:space="0" w:color="auto"/>
            </w:tcBorders>
            <w:shd w:val="clear" w:color="auto" w:fill="auto"/>
            <w:vAlign w:val="center"/>
          </w:tcPr>
          <w:p w14:paraId="4BC00B6F"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N/A</w:t>
            </w:r>
          </w:p>
        </w:tc>
        <w:tc>
          <w:tcPr>
            <w:tcW w:w="851" w:type="dxa"/>
            <w:tcBorders>
              <w:top w:val="nil"/>
              <w:left w:val="nil"/>
              <w:bottom w:val="single" w:sz="4" w:space="0" w:color="auto"/>
              <w:right w:val="single" w:sz="4" w:space="0" w:color="auto"/>
            </w:tcBorders>
            <w:shd w:val="clear" w:color="auto" w:fill="auto"/>
            <w:vAlign w:val="center"/>
          </w:tcPr>
          <w:p w14:paraId="21837865"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116</w:t>
            </w:r>
          </w:p>
        </w:tc>
        <w:tc>
          <w:tcPr>
            <w:tcW w:w="850" w:type="dxa"/>
            <w:tcBorders>
              <w:top w:val="nil"/>
              <w:left w:val="nil"/>
              <w:bottom w:val="single" w:sz="4" w:space="0" w:color="auto"/>
              <w:right w:val="single" w:sz="4" w:space="0" w:color="auto"/>
            </w:tcBorders>
            <w:shd w:val="clear" w:color="auto" w:fill="auto"/>
            <w:vAlign w:val="center"/>
          </w:tcPr>
          <w:p w14:paraId="4BAE70B7"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0.2</w:t>
            </w:r>
          </w:p>
        </w:tc>
        <w:tc>
          <w:tcPr>
            <w:tcW w:w="943" w:type="dxa"/>
            <w:tcBorders>
              <w:top w:val="nil"/>
              <w:left w:val="nil"/>
              <w:bottom w:val="single" w:sz="4" w:space="0" w:color="auto"/>
              <w:right w:val="single" w:sz="4" w:space="0" w:color="auto"/>
            </w:tcBorders>
            <w:shd w:val="clear" w:color="auto" w:fill="auto"/>
            <w:vAlign w:val="center"/>
          </w:tcPr>
          <w:p w14:paraId="7E26F4E4"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38</w:t>
            </w:r>
          </w:p>
        </w:tc>
        <w:tc>
          <w:tcPr>
            <w:tcW w:w="1104" w:type="dxa"/>
            <w:tcBorders>
              <w:top w:val="nil"/>
              <w:left w:val="nil"/>
              <w:bottom w:val="single" w:sz="4" w:space="0" w:color="auto"/>
              <w:right w:val="single" w:sz="4" w:space="0" w:color="auto"/>
            </w:tcBorders>
            <w:shd w:val="clear" w:color="auto" w:fill="auto"/>
            <w:vAlign w:val="center"/>
          </w:tcPr>
          <w:p w14:paraId="378DDBEB"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IV MP* with oral taper + MMF</w:t>
            </w:r>
          </w:p>
        </w:tc>
        <w:tc>
          <w:tcPr>
            <w:tcW w:w="959" w:type="dxa"/>
            <w:tcBorders>
              <w:top w:val="nil"/>
              <w:left w:val="nil"/>
              <w:bottom w:val="single" w:sz="4" w:space="0" w:color="auto"/>
              <w:right w:val="single" w:sz="4" w:space="0" w:color="auto"/>
            </w:tcBorders>
            <w:shd w:val="clear" w:color="auto" w:fill="auto"/>
            <w:vAlign w:val="center"/>
          </w:tcPr>
          <w:p w14:paraId="583AA168"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Resolved</w:t>
            </w:r>
          </w:p>
        </w:tc>
      </w:tr>
      <w:tr w:rsidR="00C925DD" w:rsidRPr="00C37244" w14:paraId="5EB5C9ED" w14:textId="77777777" w:rsidTr="00796C4D">
        <w:trPr>
          <w:trHeight w:val="1401"/>
        </w:trPr>
        <w:tc>
          <w:tcPr>
            <w:tcW w:w="505" w:type="dxa"/>
            <w:tcBorders>
              <w:top w:val="nil"/>
              <w:left w:val="single" w:sz="4" w:space="0" w:color="auto"/>
              <w:bottom w:val="single" w:sz="4" w:space="0" w:color="auto"/>
              <w:right w:val="single" w:sz="4" w:space="0" w:color="auto"/>
            </w:tcBorders>
            <w:shd w:val="clear" w:color="auto" w:fill="auto"/>
            <w:vAlign w:val="center"/>
          </w:tcPr>
          <w:p w14:paraId="5ED4D385"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3</w:t>
            </w:r>
          </w:p>
        </w:tc>
        <w:tc>
          <w:tcPr>
            <w:tcW w:w="792" w:type="dxa"/>
            <w:vMerge/>
            <w:tcBorders>
              <w:top w:val="nil"/>
              <w:left w:val="single" w:sz="4" w:space="0" w:color="auto"/>
              <w:bottom w:val="single" w:sz="4" w:space="0" w:color="auto"/>
              <w:right w:val="single" w:sz="4" w:space="0" w:color="auto"/>
            </w:tcBorders>
            <w:vAlign w:val="center"/>
          </w:tcPr>
          <w:p w14:paraId="25C38FE7" w14:textId="77777777" w:rsidR="00C925DD" w:rsidRPr="00C9145C" w:rsidRDefault="00C925DD" w:rsidP="00D64FA7">
            <w:pPr>
              <w:rPr>
                <w:rFonts w:ascii="Times New Roman" w:eastAsia="Times New Roman" w:hAnsi="Times New Roman" w:cs="Times New Roman"/>
                <w:sz w:val="14"/>
                <w:szCs w:val="14"/>
              </w:rPr>
            </w:pPr>
          </w:p>
        </w:tc>
        <w:tc>
          <w:tcPr>
            <w:tcW w:w="668" w:type="dxa"/>
            <w:tcBorders>
              <w:top w:val="nil"/>
              <w:left w:val="nil"/>
              <w:bottom w:val="single" w:sz="4" w:space="0" w:color="auto"/>
              <w:right w:val="single" w:sz="4" w:space="0" w:color="auto"/>
            </w:tcBorders>
            <w:shd w:val="clear" w:color="auto" w:fill="auto"/>
            <w:vAlign w:val="center"/>
          </w:tcPr>
          <w:p w14:paraId="5A744AB0"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71M</w:t>
            </w:r>
          </w:p>
        </w:tc>
        <w:tc>
          <w:tcPr>
            <w:tcW w:w="1386" w:type="dxa"/>
            <w:tcBorders>
              <w:top w:val="nil"/>
              <w:left w:val="nil"/>
              <w:bottom w:val="single" w:sz="4" w:space="0" w:color="auto"/>
              <w:right w:val="single" w:sz="4" w:space="0" w:color="auto"/>
            </w:tcBorders>
            <w:shd w:val="clear" w:color="auto" w:fill="auto"/>
            <w:vAlign w:val="center"/>
          </w:tcPr>
          <w:p w14:paraId="3A621D80"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Fever, urinary retention, bloating, poor appetite, cognitive dysfunction, bilateral hand tremor, limb weakness, inarticulate speech</w:t>
            </w:r>
          </w:p>
        </w:tc>
        <w:tc>
          <w:tcPr>
            <w:tcW w:w="579" w:type="dxa"/>
            <w:tcBorders>
              <w:top w:val="nil"/>
              <w:left w:val="nil"/>
              <w:bottom w:val="single" w:sz="4" w:space="0" w:color="auto"/>
              <w:right w:val="single" w:sz="4" w:space="0" w:color="auto"/>
            </w:tcBorders>
            <w:shd w:val="clear" w:color="auto" w:fill="auto"/>
            <w:vAlign w:val="center"/>
          </w:tcPr>
          <w:p w14:paraId="61128FFD"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6</w:t>
            </w:r>
          </w:p>
        </w:tc>
        <w:tc>
          <w:tcPr>
            <w:tcW w:w="601" w:type="dxa"/>
            <w:tcBorders>
              <w:top w:val="nil"/>
              <w:left w:val="nil"/>
              <w:bottom w:val="single" w:sz="4" w:space="0" w:color="auto"/>
              <w:right w:val="single" w:sz="4" w:space="0" w:color="auto"/>
            </w:tcBorders>
            <w:shd w:val="clear" w:color="auto" w:fill="auto"/>
            <w:vAlign w:val="center"/>
          </w:tcPr>
          <w:p w14:paraId="202ACA9C"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N/A</w:t>
            </w:r>
          </w:p>
        </w:tc>
        <w:tc>
          <w:tcPr>
            <w:tcW w:w="851" w:type="dxa"/>
            <w:tcBorders>
              <w:top w:val="nil"/>
              <w:left w:val="nil"/>
              <w:bottom w:val="single" w:sz="4" w:space="0" w:color="auto"/>
              <w:right w:val="single" w:sz="4" w:space="0" w:color="auto"/>
            </w:tcBorders>
            <w:shd w:val="clear" w:color="auto" w:fill="auto"/>
            <w:vAlign w:val="center"/>
          </w:tcPr>
          <w:p w14:paraId="24AB7327"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64</w:t>
            </w:r>
          </w:p>
        </w:tc>
        <w:tc>
          <w:tcPr>
            <w:tcW w:w="850" w:type="dxa"/>
            <w:tcBorders>
              <w:top w:val="nil"/>
              <w:left w:val="nil"/>
              <w:bottom w:val="single" w:sz="4" w:space="0" w:color="auto"/>
              <w:right w:val="single" w:sz="4" w:space="0" w:color="auto"/>
            </w:tcBorders>
            <w:shd w:val="clear" w:color="auto" w:fill="auto"/>
            <w:vAlign w:val="center"/>
          </w:tcPr>
          <w:p w14:paraId="606D66A6"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0.1</w:t>
            </w:r>
          </w:p>
        </w:tc>
        <w:tc>
          <w:tcPr>
            <w:tcW w:w="943" w:type="dxa"/>
            <w:tcBorders>
              <w:top w:val="nil"/>
              <w:left w:val="nil"/>
              <w:bottom w:val="single" w:sz="4" w:space="0" w:color="auto"/>
              <w:right w:val="single" w:sz="4" w:space="0" w:color="auto"/>
            </w:tcBorders>
            <w:shd w:val="clear" w:color="auto" w:fill="auto"/>
            <w:vAlign w:val="center"/>
          </w:tcPr>
          <w:p w14:paraId="6007D315"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Unknown</w:t>
            </w:r>
          </w:p>
        </w:tc>
        <w:tc>
          <w:tcPr>
            <w:tcW w:w="1104" w:type="dxa"/>
            <w:tcBorders>
              <w:top w:val="nil"/>
              <w:left w:val="nil"/>
              <w:bottom w:val="single" w:sz="4" w:space="0" w:color="auto"/>
              <w:right w:val="single" w:sz="4" w:space="0" w:color="auto"/>
            </w:tcBorders>
            <w:shd w:val="clear" w:color="auto" w:fill="auto"/>
            <w:vAlign w:val="center"/>
          </w:tcPr>
          <w:p w14:paraId="2739B23C"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IV MP* with oral taper + MMF</w:t>
            </w:r>
          </w:p>
        </w:tc>
        <w:tc>
          <w:tcPr>
            <w:tcW w:w="959" w:type="dxa"/>
            <w:tcBorders>
              <w:top w:val="nil"/>
              <w:left w:val="nil"/>
              <w:bottom w:val="single" w:sz="4" w:space="0" w:color="auto"/>
              <w:right w:val="single" w:sz="4" w:space="0" w:color="auto"/>
            </w:tcBorders>
            <w:shd w:val="clear" w:color="auto" w:fill="auto"/>
            <w:vAlign w:val="center"/>
          </w:tcPr>
          <w:p w14:paraId="6B7766F6"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Resolved</w:t>
            </w:r>
          </w:p>
        </w:tc>
      </w:tr>
      <w:tr w:rsidR="00C925DD" w:rsidRPr="00C37244" w14:paraId="20173B00" w14:textId="77777777" w:rsidTr="00796C4D">
        <w:trPr>
          <w:trHeight w:val="996"/>
        </w:trPr>
        <w:tc>
          <w:tcPr>
            <w:tcW w:w="505" w:type="dxa"/>
            <w:tcBorders>
              <w:top w:val="nil"/>
              <w:left w:val="single" w:sz="4" w:space="0" w:color="auto"/>
              <w:bottom w:val="single" w:sz="4" w:space="0" w:color="auto"/>
              <w:right w:val="single" w:sz="4" w:space="0" w:color="auto"/>
            </w:tcBorders>
            <w:shd w:val="clear" w:color="auto" w:fill="auto"/>
            <w:vAlign w:val="center"/>
          </w:tcPr>
          <w:p w14:paraId="7F106BED"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4</w:t>
            </w:r>
          </w:p>
        </w:tc>
        <w:tc>
          <w:tcPr>
            <w:tcW w:w="792" w:type="dxa"/>
            <w:vMerge w:val="restart"/>
            <w:tcBorders>
              <w:top w:val="nil"/>
              <w:left w:val="single" w:sz="4" w:space="0" w:color="auto"/>
              <w:bottom w:val="single" w:sz="4" w:space="0" w:color="auto"/>
              <w:right w:val="single" w:sz="4" w:space="0" w:color="auto"/>
            </w:tcBorders>
            <w:shd w:val="clear" w:color="auto" w:fill="auto"/>
            <w:vAlign w:val="center"/>
          </w:tcPr>
          <w:p w14:paraId="34095357" w14:textId="02A2CD16" w:rsidR="00C925DD" w:rsidRPr="00C9145C" w:rsidRDefault="00C925DD" w:rsidP="00D64FA7">
            <w:pPr>
              <w:rPr>
                <w:rFonts w:ascii="Times New Roman" w:hAnsi="Times New Roman" w:cs="Times New Roman"/>
                <w:sz w:val="14"/>
                <w:szCs w:val="14"/>
              </w:rPr>
            </w:pPr>
            <w:r w:rsidRPr="00C9145C">
              <w:rPr>
                <w:rFonts w:ascii="Times New Roman" w:eastAsia="Times New Roman" w:hAnsi="Times New Roman" w:cs="Times New Roman"/>
                <w:sz w:val="14"/>
                <w:szCs w:val="14"/>
              </w:rPr>
              <w:t>Zhang et al., 2023</w:t>
            </w:r>
            <w:r w:rsidRPr="00C9145C">
              <w:rPr>
                <w:rFonts w:ascii="Times New Roman" w:eastAsia="Times New Roman" w:hAnsi="Times New Roman" w:cs="Times New Roman"/>
                <w:sz w:val="14"/>
                <w:szCs w:val="14"/>
              </w:rPr>
              <w:fldChar w:fldCharType="begin"/>
            </w:r>
            <w:r w:rsidR="00B55664" w:rsidRPr="00C9145C">
              <w:rPr>
                <w:rFonts w:ascii="Times New Roman" w:eastAsia="Times New Roman" w:hAnsi="Times New Roman" w:cs="Times New Roman"/>
                <w:sz w:val="14"/>
                <w:szCs w:val="14"/>
              </w:rPr>
              <w:instrText xml:space="preserve"> ADDIN ZOTERO_ITEM CSL_CITATION {"citationID":"4N4RvE3E","properties":{"formattedCitation":"(4)","plainCitation":"(4)","noteIndex":0},"citationItems":[{"id":370,"uris":["http://zotero.org/users/11423929/items/YY7RGKYW"],"itemData":{"id":370,"type":"article-journal","container-title":"Journal of Neuroimmunology","DOI":"10.1016/j.jneuroim.2023.578174","ISSN":"0165-5728, 1872-8421","journalAbbreviation":"Journal of Neuroimmunology","language":"English","note":"publisher: Elsevier\nPMID: 37573633","source":"www.jni-journal.com","title":"Overlapping Epstein-Barr virus encephalitis and autoimmune glial fibrillary acidic protein astrocytopathy","URL":"https://www.jni-journal.com/article/S0165-5728(23)00160-1/abstract","volume":"382","author":[{"family":"Zhang","given":"Jin-ru"},{"family":"Zhuang","given":"Sheng"},{"family":"Xu","given":"Xiao-dong"},{"family":"Song","given":"Wen-li"},{"family":"Li","given":"Ke-ru"},{"family":"Jiang","given":"Yu"},{"family":"Cheng","given":"Xiao-yu"},{"family":"Shi","given":"Ji-jun"},{"family":"Hu","given":"Wei-dong"},{"family":"Liu","given":"Chun-feng"},{"family":"Zhang","given":"Yan-lin"}],"accessed":{"date-parts":[["2024",6,28]]},"issued":{"date-parts":[["2023",9,15]]}}}],"schema":"https://github.com/citation-style-language/schema/raw/master/csl-citation.json"} </w:instrText>
            </w:r>
            <w:r w:rsidRPr="00C9145C">
              <w:rPr>
                <w:rFonts w:ascii="Times New Roman" w:eastAsia="Times New Roman" w:hAnsi="Times New Roman" w:cs="Times New Roman"/>
                <w:sz w:val="14"/>
                <w:szCs w:val="14"/>
              </w:rPr>
              <w:fldChar w:fldCharType="separate"/>
            </w:r>
            <w:r w:rsidR="00B55664" w:rsidRPr="00C9145C">
              <w:rPr>
                <w:rFonts w:ascii="Times New Roman" w:hAnsi="Times New Roman" w:cs="Times New Roman"/>
                <w:sz w:val="14"/>
              </w:rPr>
              <w:t>(</w:t>
            </w:r>
            <w:r w:rsidR="009F7C78" w:rsidRPr="00C9145C">
              <w:rPr>
                <w:rFonts w:ascii="Times New Roman" w:hAnsi="Times New Roman" w:cs="Times New Roman" w:hint="eastAsia"/>
                <w:sz w:val="14"/>
              </w:rPr>
              <w:t>9</w:t>
            </w:r>
            <w:r w:rsidR="00B55664" w:rsidRPr="00C9145C">
              <w:rPr>
                <w:rFonts w:ascii="Times New Roman" w:hAnsi="Times New Roman" w:cs="Times New Roman"/>
                <w:sz w:val="14"/>
              </w:rPr>
              <w:t>)</w:t>
            </w:r>
            <w:r w:rsidRPr="00C9145C">
              <w:rPr>
                <w:rFonts w:ascii="Times New Roman" w:eastAsia="Times New Roman" w:hAnsi="Times New Roman" w:cs="Times New Roman"/>
                <w:sz w:val="14"/>
                <w:szCs w:val="14"/>
              </w:rPr>
              <w:fldChar w:fldCharType="end"/>
            </w:r>
          </w:p>
        </w:tc>
        <w:tc>
          <w:tcPr>
            <w:tcW w:w="668" w:type="dxa"/>
            <w:tcBorders>
              <w:top w:val="nil"/>
              <w:left w:val="nil"/>
              <w:bottom w:val="single" w:sz="4" w:space="0" w:color="auto"/>
              <w:right w:val="single" w:sz="4" w:space="0" w:color="auto"/>
            </w:tcBorders>
            <w:shd w:val="clear" w:color="auto" w:fill="auto"/>
            <w:vAlign w:val="center"/>
          </w:tcPr>
          <w:p w14:paraId="64CF0E57"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59M</w:t>
            </w:r>
          </w:p>
        </w:tc>
        <w:tc>
          <w:tcPr>
            <w:tcW w:w="1386" w:type="dxa"/>
            <w:tcBorders>
              <w:top w:val="nil"/>
              <w:left w:val="nil"/>
              <w:bottom w:val="single" w:sz="4" w:space="0" w:color="auto"/>
              <w:right w:val="single" w:sz="4" w:space="0" w:color="auto"/>
            </w:tcBorders>
            <w:shd w:val="clear" w:color="auto" w:fill="auto"/>
            <w:vAlign w:val="center"/>
          </w:tcPr>
          <w:p w14:paraId="7666025C"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Fever, bilateral hand tremor, paraparesis, coma, dyspnea, neurogenic bladder</w:t>
            </w:r>
          </w:p>
        </w:tc>
        <w:tc>
          <w:tcPr>
            <w:tcW w:w="579" w:type="dxa"/>
            <w:tcBorders>
              <w:top w:val="nil"/>
              <w:left w:val="nil"/>
              <w:bottom w:val="single" w:sz="4" w:space="0" w:color="auto"/>
              <w:right w:val="single" w:sz="4" w:space="0" w:color="auto"/>
            </w:tcBorders>
            <w:shd w:val="clear" w:color="auto" w:fill="auto"/>
            <w:vAlign w:val="center"/>
          </w:tcPr>
          <w:p w14:paraId="42756CB2"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8</w:t>
            </w:r>
          </w:p>
        </w:tc>
        <w:tc>
          <w:tcPr>
            <w:tcW w:w="601" w:type="dxa"/>
            <w:tcBorders>
              <w:top w:val="nil"/>
              <w:left w:val="nil"/>
              <w:bottom w:val="single" w:sz="4" w:space="0" w:color="auto"/>
              <w:right w:val="single" w:sz="4" w:space="0" w:color="auto"/>
            </w:tcBorders>
            <w:shd w:val="clear" w:color="auto" w:fill="auto"/>
            <w:vAlign w:val="center"/>
          </w:tcPr>
          <w:p w14:paraId="2DD7CA72"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400</w:t>
            </w:r>
          </w:p>
        </w:tc>
        <w:tc>
          <w:tcPr>
            <w:tcW w:w="851" w:type="dxa"/>
            <w:tcBorders>
              <w:top w:val="nil"/>
              <w:left w:val="nil"/>
              <w:bottom w:val="single" w:sz="4" w:space="0" w:color="auto"/>
              <w:right w:val="single" w:sz="4" w:space="0" w:color="auto"/>
            </w:tcBorders>
            <w:shd w:val="clear" w:color="auto" w:fill="auto"/>
            <w:vAlign w:val="center"/>
          </w:tcPr>
          <w:p w14:paraId="4A7E52D4"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128</w:t>
            </w:r>
          </w:p>
        </w:tc>
        <w:tc>
          <w:tcPr>
            <w:tcW w:w="850" w:type="dxa"/>
            <w:tcBorders>
              <w:top w:val="nil"/>
              <w:left w:val="nil"/>
              <w:bottom w:val="single" w:sz="4" w:space="0" w:color="auto"/>
              <w:right w:val="single" w:sz="4" w:space="0" w:color="auto"/>
            </w:tcBorders>
            <w:shd w:val="clear" w:color="auto" w:fill="auto"/>
            <w:vAlign w:val="center"/>
          </w:tcPr>
          <w:p w14:paraId="6B3C5991"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2.0</w:t>
            </w:r>
          </w:p>
        </w:tc>
        <w:tc>
          <w:tcPr>
            <w:tcW w:w="943" w:type="dxa"/>
            <w:tcBorders>
              <w:top w:val="nil"/>
              <w:left w:val="nil"/>
              <w:bottom w:val="single" w:sz="4" w:space="0" w:color="auto"/>
              <w:right w:val="single" w:sz="4" w:space="0" w:color="auto"/>
            </w:tcBorders>
            <w:shd w:val="clear" w:color="auto" w:fill="auto"/>
            <w:vAlign w:val="center"/>
          </w:tcPr>
          <w:p w14:paraId="0545059E"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21</w:t>
            </w:r>
          </w:p>
        </w:tc>
        <w:tc>
          <w:tcPr>
            <w:tcW w:w="1104" w:type="dxa"/>
            <w:tcBorders>
              <w:top w:val="nil"/>
              <w:left w:val="nil"/>
              <w:bottom w:val="single" w:sz="4" w:space="0" w:color="auto"/>
              <w:right w:val="single" w:sz="4" w:space="0" w:color="auto"/>
            </w:tcBorders>
            <w:shd w:val="clear" w:color="auto" w:fill="auto"/>
            <w:vAlign w:val="center"/>
          </w:tcPr>
          <w:p w14:paraId="43F52E47"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 xml:space="preserve">IV MP (1.0 g/d for 3 days) with oral taper + IV IG (0.4 g/(kg d) for 5 days) </w:t>
            </w:r>
          </w:p>
        </w:tc>
        <w:tc>
          <w:tcPr>
            <w:tcW w:w="959" w:type="dxa"/>
            <w:tcBorders>
              <w:top w:val="nil"/>
              <w:left w:val="nil"/>
              <w:bottom w:val="single" w:sz="4" w:space="0" w:color="auto"/>
              <w:right w:val="single" w:sz="4" w:space="0" w:color="auto"/>
            </w:tcBorders>
            <w:shd w:val="clear" w:color="auto" w:fill="auto"/>
            <w:vAlign w:val="center"/>
          </w:tcPr>
          <w:p w14:paraId="2FFD3641"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Neurogenic bladder at 6 months</w:t>
            </w:r>
          </w:p>
        </w:tc>
      </w:tr>
      <w:tr w:rsidR="00C925DD" w:rsidRPr="00C37244" w14:paraId="275B55D8" w14:textId="77777777" w:rsidTr="00796C4D">
        <w:trPr>
          <w:trHeight w:val="1546"/>
        </w:trPr>
        <w:tc>
          <w:tcPr>
            <w:tcW w:w="505" w:type="dxa"/>
            <w:tcBorders>
              <w:top w:val="nil"/>
              <w:left w:val="single" w:sz="4" w:space="0" w:color="auto"/>
              <w:bottom w:val="single" w:sz="4" w:space="0" w:color="auto"/>
              <w:right w:val="single" w:sz="4" w:space="0" w:color="auto"/>
            </w:tcBorders>
            <w:shd w:val="clear" w:color="auto" w:fill="auto"/>
            <w:vAlign w:val="center"/>
          </w:tcPr>
          <w:p w14:paraId="363F2B3E"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5</w:t>
            </w:r>
          </w:p>
        </w:tc>
        <w:tc>
          <w:tcPr>
            <w:tcW w:w="792" w:type="dxa"/>
            <w:vMerge/>
            <w:tcBorders>
              <w:top w:val="nil"/>
              <w:left w:val="single" w:sz="4" w:space="0" w:color="auto"/>
              <w:bottom w:val="single" w:sz="4" w:space="0" w:color="auto"/>
              <w:right w:val="single" w:sz="4" w:space="0" w:color="auto"/>
            </w:tcBorders>
            <w:vAlign w:val="center"/>
          </w:tcPr>
          <w:p w14:paraId="306AC4DD" w14:textId="77777777" w:rsidR="00C925DD" w:rsidRPr="00C9145C" w:rsidRDefault="00C925DD" w:rsidP="00D64FA7">
            <w:pPr>
              <w:rPr>
                <w:rFonts w:ascii="Times New Roman" w:eastAsia="Times New Roman" w:hAnsi="Times New Roman" w:cs="Times New Roman"/>
                <w:sz w:val="14"/>
                <w:szCs w:val="14"/>
              </w:rPr>
            </w:pPr>
          </w:p>
        </w:tc>
        <w:tc>
          <w:tcPr>
            <w:tcW w:w="668" w:type="dxa"/>
            <w:tcBorders>
              <w:top w:val="nil"/>
              <w:left w:val="nil"/>
              <w:bottom w:val="single" w:sz="4" w:space="0" w:color="auto"/>
              <w:right w:val="single" w:sz="4" w:space="0" w:color="auto"/>
            </w:tcBorders>
            <w:shd w:val="clear" w:color="auto" w:fill="auto"/>
            <w:vAlign w:val="center"/>
          </w:tcPr>
          <w:p w14:paraId="0B0F15E0"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54M</w:t>
            </w:r>
          </w:p>
        </w:tc>
        <w:tc>
          <w:tcPr>
            <w:tcW w:w="1386" w:type="dxa"/>
            <w:tcBorders>
              <w:top w:val="nil"/>
              <w:left w:val="nil"/>
              <w:bottom w:val="single" w:sz="4" w:space="0" w:color="auto"/>
              <w:right w:val="single" w:sz="4" w:space="0" w:color="auto"/>
            </w:tcBorders>
            <w:shd w:val="clear" w:color="auto" w:fill="auto"/>
            <w:vAlign w:val="center"/>
          </w:tcPr>
          <w:p w14:paraId="5CC6DFB5"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Fever, bilateral hand tremor, urinary retention, psychomotor retardation, altered consciousness, dyspnea, paraplegia, hypoesthesia below T10 level</w:t>
            </w:r>
          </w:p>
        </w:tc>
        <w:tc>
          <w:tcPr>
            <w:tcW w:w="579" w:type="dxa"/>
            <w:tcBorders>
              <w:top w:val="nil"/>
              <w:left w:val="nil"/>
              <w:bottom w:val="single" w:sz="4" w:space="0" w:color="auto"/>
              <w:right w:val="single" w:sz="4" w:space="0" w:color="auto"/>
            </w:tcBorders>
            <w:shd w:val="clear" w:color="auto" w:fill="auto"/>
            <w:vAlign w:val="center"/>
          </w:tcPr>
          <w:p w14:paraId="5480F879"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5</w:t>
            </w:r>
          </w:p>
        </w:tc>
        <w:tc>
          <w:tcPr>
            <w:tcW w:w="601" w:type="dxa"/>
            <w:tcBorders>
              <w:top w:val="nil"/>
              <w:left w:val="nil"/>
              <w:bottom w:val="single" w:sz="4" w:space="0" w:color="auto"/>
              <w:right w:val="single" w:sz="4" w:space="0" w:color="auto"/>
            </w:tcBorders>
            <w:shd w:val="clear" w:color="auto" w:fill="auto"/>
            <w:vAlign w:val="center"/>
          </w:tcPr>
          <w:p w14:paraId="72C90C00"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450</w:t>
            </w:r>
          </w:p>
        </w:tc>
        <w:tc>
          <w:tcPr>
            <w:tcW w:w="851" w:type="dxa"/>
            <w:tcBorders>
              <w:top w:val="nil"/>
              <w:left w:val="nil"/>
              <w:bottom w:val="single" w:sz="4" w:space="0" w:color="auto"/>
              <w:right w:val="single" w:sz="4" w:space="0" w:color="auto"/>
            </w:tcBorders>
            <w:shd w:val="clear" w:color="auto" w:fill="auto"/>
            <w:vAlign w:val="center"/>
          </w:tcPr>
          <w:p w14:paraId="25DE583C"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392</w:t>
            </w:r>
          </w:p>
        </w:tc>
        <w:tc>
          <w:tcPr>
            <w:tcW w:w="850" w:type="dxa"/>
            <w:tcBorders>
              <w:top w:val="nil"/>
              <w:left w:val="nil"/>
              <w:bottom w:val="single" w:sz="4" w:space="0" w:color="auto"/>
              <w:right w:val="single" w:sz="4" w:space="0" w:color="auto"/>
            </w:tcBorders>
            <w:shd w:val="clear" w:color="auto" w:fill="auto"/>
            <w:vAlign w:val="center"/>
          </w:tcPr>
          <w:p w14:paraId="5DEBAF91"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2.8</w:t>
            </w:r>
          </w:p>
        </w:tc>
        <w:tc>
          <w:tcPr>
            <w:tcW w:w="943" w:type="dxa"/>
            <w:tcBorders>
              <w:top w:val="nil"/>
              <w:left w:val="nil"/>
              <w:bottom w:val="single" w:sz="4" w:space="0" w:color="auto"/>
              <w:right w:val="single" w:sz="4" w:space="0" w:color="auto"/>
            </w:tcBorders>
            <w:shd w:val="clear" w:color="auto" w:fill="auto"/>
            <w:vAlign w:val="center"/>
          </w:tcPr>
          <w:p w14:paraId="35BB293D"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28</w:t>
            </w:r>
          </w:p>
        </w:tc>
        <w:tc>
          <w:tcPr>
            <w:tcW w:w="1104" w:type="dxa"/>
            <w:tcBorders>
              <w:top w:val="nil"/>
              <w:left w:val="nil"/>
              <w:bottom w:val="single" w:sz="4" w:space="0" w:color="auto"/>
              <w:right w:val="single" w:sz="4" w:space="0" w:color="auto"/>
            </w:tcBorders>
            <w:shd w:val="clear" w:color="auto" w:fill="auto"/>
            <w:vAlign w:val="center"/>
          </w:tcPr>
          <w:p w14:paraId="6829E1A6"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IV MP (1.0 g/d for 3 days, 0.5 g/d for 3 days, 0.25 g/d for 3 days) with oral taper + IVIG (0.4g/kg/d for 5 days)</w:t>
            </w:r>
          </w:p>
        </w:tc>
        <w:tc>
          <w:tcPr>
            <w:tcW w:w="959" w:type="dxa"/>
            <w:tcBorders>
              <w:top w:val="nil"/>
              <w:left w:val="nil"/>
              <w:bottom w:val="single" w:sz="4" w:space="0" w:color="auto"/>
              <w:right w:val="single" w:sz="4" w:space="0" w:color="auto"/>
            </w:tcBorders>
            <w:shd w:val="clear" w:color="auto" w:fill="auto"/>
            <w:vAlign w:val="center"/>
          </w:tcPr>
          <w:p w14:paraId="29C28B00"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Paraplegia at 6 months; urinary incontinence at 1 year</w:t>
            </w:r>
          </w:p>
        </w:tc>
      </w:tr>
      <w:tr w:rsidR="00C925DD" w:rsidRPr="00C37244" w14:paraId="393572CA" w14:textId="77777777" w:rsidTr="00796C4D">
        <w:trPr>
          <w:trHeight w:val="1359"/>
        </w:trPr>
        <w:tc>
          <w:tcPr>
            <w:tcW w:w="505" w:type="dxa"/>
            <w:tcBorders>
              <w:top w:val="nil"/>
              <w:left w:val="single" w:sz="4" w:space="0" w:color="auto"/>
              <w:bottom w:val="single" w:sz="4" w:space="0" w:color="auto"/>
              <w:right w:val="single" w:sz="4" w:space="0" w:color="auto"/>
            </w:tcBorders>
            <w:shd w:val="clear" w:color="auto" w:fill="auto"/>
            <w:vAlign w:val="center"/>
          </w:tcPr>
          <w:p w14:paraId="75F906F3"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6</w:t>
            </w:r>
          </w:p>
        </w:tc>
        <w:tc>
          <w:tcPr>
            <w:tcW w:w="792" w:type="dxa"/>
            <w:vMerge/>
            <w:tcBorders>
              <w:top w:val="nil"/>
              <w:left w:val="single" w:sz="4" w:space="0" w:color="auto"/>
              <w:bottom w:val="single" w:sz="4" w:space="0" w:color="auto"/>
              <w:right w:val="single" w:sz="4" w:space="0" w:color="auto"/>
            </w:tcBorders>
            <w:vAlign w:val="center"/>
          </w:tcPr>
          <w:p w14:paraId="6D8C7D0E" w14:textId="77777777" w:rsidR="00C925DD" w:rsidRPr="00C9145C" w:rsidRDefault="00C925DD" w:rsidP="00D64FA7">
            <w:pPr>
              <w:rPr>
                <w:rFonts w:ascii="Times New Roman" w:eastAsia="Times New Roman" w:hAnsi="Times New Roman" w:cs="Times New Roman"/>
                <w:sz w:val="14"/>
                <w:szCs w:val="14"/>
              </w:rPr>
            </w:pPr>
          </w:p>
        </w:tc>
        <w:tc>
          <w:tcPr>
            <w:tcW w:w="668" w:type="dxa"/>
            <w:tcBorders>
              <w:top w:val="nil"/>
              <w:left w:val="nil"/>
              <w:bottom w:val="single" w:sz="4" w:space="0" w:color="auto"/>
              <w:right w:val="single" w:sz="4" w:space="0" w:color="auto"/>
            </w:tcBorders>
            <w:shd w:val="clear" w:color="auto" w:fill="auto"/>
            <w:vAlign w:val="center"/>
          </w:tcPr>
          <w:p w14:paraId="41A667C4"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62M</w:t>
            </w:r>
          </w:p>
        </w:tc>
        <w:tc>
          <w:tcPr>
            <w:tcW w:w="1386" w:type="dxa"/>
            <w:tcBorders>
              <w:top w:val="nil"/>
              <w:left w:val="nil"/>
              <w:bottom w:val="single" w:sz="4" w:space="0" w:color="auto"/>
              <w:right w:val="single" w:sz="4" w:space="0" w:color="auto"/>
            </w:tcBorders>
            <w:shd w:val="clear" w:color="auto" w:fill="auto"/>
            <w:vAlign w:val="center"/>
          </w:tcPr>
          <w:p w14:paraId="27E7906A"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Fever, bilateral hand tremor, headache, dysuria</w:t>
            </w:r>
          </w:p>
        </w:tc>
        <w:tc>
          <w:tcPr>
            <w:tcW w:w="579" w:type="dxa"/>
            <w:tcBorders>
              <w:top w:val="nil"/>
              <w:left w:val="nil"/>
              <w:bottom w:val="single" w:sz="4" w:space="0" w:color="auto"/>
              <w:right w:val="single" w:sz="4" w:space="0" w:color="auto"/>
            </w:tcBorders>
            <w:shd w:val="clear" w:color="auto" w:fill="auto"/>
            <w:vAlign w:val="center"/>
          </w:tcPr>
          <w:p w14:paraId="799BED8C"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6</w:t>
            </w:r>
          </w:p>
        </w:tc>
        <w:tc>
          <w:tcPr>
            <w:tcW w:w="601" w:type="dxa"/>
            <w:tcBorders>
              <w:top w:val="nil"/>
              <w:left w:val="nil"/>
              <w:bottom w:val="single" w:sz="4" w:space="0" w:color="auto"/>
              <w:right w:val="single" w:sz="4" w:space="0" w:color="auto"/>
            </w:tcBorders>
            <w:shd w:val="clear" w:color="auto" w:fill="auto"/>
            <w:vAlign w:val="center"/>
          </w:tcPr>
          <w:p w14:paraId="6DF51928"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N/A</w:t>
            </w:r>
          </w:p>
        </w:tc>
        <w:tc>
          <w:tcPr>
            <w:tcW w:w="851" w:type="dxa"/>
            <w:tcBorders>
              <w:top w:val="nil"/>
              <w:left w:val="nil"/>
              <w:bottom w:val="single" w:sz="4" w:space="0" w:color="auto"/>
              <w:right w:val="single" w:sz="4" w:space="0" w:color="auto"/>
            </w:tcBorders>
            <w:shd w:val="clear" w:color="auto" w:fill="auto"/>
            <w:vAlign w:val="center"/>
          </w:tcPr>
          <w:p w14:paraId="6ED2F2C3"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125</w:t>
            </w:r>
          </w:p>
        </w:tc>
        <w:tc>
          <w:tcPr>
            <w:tcW w:w="850" w:type="dxa"/>
            <w:tcBorders>
              <w:top w:val="nil"/>
              <w:left w:val="nil"/>
              <w:bottom w:val="single" w:sz="4" w:space="0" w:color="auto"/>
              <w:right w:val="single" w:sz="4" w:space="0" w:color="auto"/>
            </w:tcBorders>
            <w:shd w:val="clear" w:color="auto" w:fill="auto"/>
            <w:vAlign w:val="center"/>
          </w:tcPr>
          <w:p w14:paraId="2DB81DF3"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1.8</w:t>
            </w:r>
          </w:p>
        </w:tc>
        <w:tc>
          <w:tcPr>
            <w:tcW w:w="943" w:type="dxa"/>
            <w:tcBorders>
              <w:top w:val="nil"/>
              <w:left w:val="nil"/>
              <w:bottom w:val="single" w:sz="4" w:space="0" w:color="auto"/>
              <w:right w:val="single" w:sz="4" w:space="0" w:color="auto"/>
            </w:tcBorders>
            <w:shd w:val="clear" w:color="auto" w:fill="auto"/>
            <w:vAlign w:val="center"/>
          </w:tcPr>
          <w:p w14:paraId="0B61B78A"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13</w:t>
            </w:r>
          </w:p>
        </w:tc>
        <w:tc>
          <w:tcPr>
            <w:tcW w:w="1104" w:type="dxa"/>
            <w:tcBorders>
              <w:top w:val="nil"/>
              <w:left w:val="nil"/>
              <w:bottom w:val="single" w:sz="4" w:space="0" w:color="auto"/>
              <w:right w:val="single" w:sz="4" w:space="0" w:color="auto"/>
            </w:tcBorders>
            <w:shd w:val="clear" w:color="auto" w:fill="auto"/>
            <w:vAlign w:val="center"/>
          </w:tcPr>
          <w:p w14:paraId="3ECAEED1"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IV MP (1.0 g/d for 3 days, 0.5 g/d for 3 days and 0.25g/d for 3 days) with oral taper + IVIG for 5 days</w:t>
            </w:r>
          </w:p>
        </w:tc>
        <w:tc>
          <w:tcPr>
            <w:tcW w:w="959" w:type="dxa"/>
            <w:tcBorders>
              <w:top w:val="nil"/>
              <w:left w:val="nil"/>
              <w:bottom w:val="single" w:sz="4" w:space="0" w:color="auto"/>
              <w:right w:val="single" w:sz="4" w:space="0" w:color="auto"/>
            </w:tcBorders>
            <w:shd w:val="clear" w:color="auto" w:fill="auto"/>
            <w:vAlign w:val="center"/>
          </w:tcPr>
          <w:p w14:paraId="0A389EEC"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 xml:space="preserve">Died at 1 month from gastrointestinal hemorrhage </w:t>
            </w:r>
          </w:p>
        </w:tc>
      </w:tr>
      <w:tr w:rsidR="00C925DD" w:rsidRPr="00C37244" w14:paraId="1F99C316" w14:textId="77777777" w:rsidTr="009F1198">
        <w:trPr>
          <w:trHeight w:val="628"/>
        </w:trPr>
        <w:tc>
          <w:tcPr>
            <w:tcW w:w="505" w:type="dxa"/>
            <w:tcBorders>
              <w:top w:val="nil"/>
              <w:left w:val="single" w:sz="4" w:space="0" w:color="auto"/>
              <w:bottom w:val="single" w:sz="4" w:space="0" w:color="auto"/>
              <w:right w:val="single" w:sz="4" w:space="0" w:color="auto"/>
            </w:tcBorders>
            <w:shd w:val="clear" w:color="auto" w:fill="auto"/>
            <w:vAlign w:val="center"/>
          </w:tcPr>
          <w:p w14:paraId="52818BEB"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7</w:t>
            </w:r>
          </w:p>
        </w:tc>
        <w:tc>
          <w:tcPr>
            <w:tcW w:w="792" w:type="dxa"/>
            <w:tcBorders>
              <w:top w:val="nil"/>
              <w:left w:val="nil"/>
              <w:bottom w:val="single" w:sz="4" w:space="0" w:color="auto"/>
              <w:right w:val="single" w:sz="4" w:space="0" w:color="auto"/>
            </w:tcBorders>
            <w:shd w:val="clear" w:color="auto" w:fill="auto"/>
            <w:vAlign w:val="center"/>
          </w:tcPr>
          <w:p w14:paraId="4EE19CB9" w14:textId="4435725B" w:rsidR="00C925DD" w:rsidRPr="00C9145C" w:rsidRDefault="00C925DD" w:rsidP="00D64FA7">
            <w:pPr>
              <w:rPr>
                <w:rFonts w:ascii="Times New Roman" w:hAnsi="Times New Roman" w:cs="Times New Roman"/>
                <w:sz w:val="14"/>
                <w:szCs w:val="14"/>
              </w:rPr>
            </w:pPr>
            <w:r w:rsidRPr="00C9145C">
              <w:rPr>
                <w:rFonts w:ascii="Times New Roman" w:eastAsia="Times New Roman" w:hAnsi="Times New Roman" w:cs="Times New Roman"/>
                <w:sz w:val="14"/>
                <w:szCs w:val="14"/>
              </w:rPr>
              <w:t>Wang et al., 2022</w:t>
            </w:r>
            <w:r w:rsidRPr="00C9145C">
              <w:rPr>
                <w:rFonts w:ascii="Times New Roman" w:eastAsia="Times New Roman" w:hAnsi="Times New Roman" w:cs="Times New Roman"/>
                <w:sz w:val="14"/>
                <w:szCs w:val="14"/>
              </w:rPr>
              <w:fldChar w:fldCharType="begin"/>
            </w:r>
            <w:r w:rsidR="00B55664" w:rsidRPr="00C9145C">
              <w:rPr>
                <w:rFonts w:ascii="Times New Roman" w:eastAsia="Times New Roman" w:hAnsi="Times New Roman" w:cs="Times New Roman"/>
                <w:sz w:val="14"/>
                <w:szCs w:val="14"/>
              </w:rPr>
              <w:instrText xml:space="preserve"> ADDIN ZOTERO_ITEM CSL_CITATION {"citationID":"5GSQC3jq","properties":{"formattedCitation":"(3)","plainCitation":"(3)","noteIndex":0},"citationItems":[{"id":367,"uris":["http://zotero.org/users/11423929/items/FHXIEDKG"],"itemData":{"id":367,"type":"article-journal","abstract":"Due to neuronal destruction caused by Epstein-Barr virus (EBV) infection, exposure to neuronal surface antigens may lead to an imbalance in immune tolerance, which in turn triggers an autoimmune response. In addition, due to the involvement of nonspecific B-cell activation or molecular mimicry, EBV and Glial Fibrillary Acidic Protein (GFAP) receptors may have common epitopes. Viral infection triggers activation of B-cell and cross-reaction with viral antibodies, resulting in autoimmune encephalomyelitis. The clinical presentation may be complex or even atypical. A small number of patients may develop autoimmune reactions.","container-title":"Medicine","DOI":"10.1097/MD.0000000000031995","ISSN":"0025-7974","issue":"48","journalAbbreviation":"Medicine (Baltimore)","note":"PMID: 36482607\nPMCID: PMC9726296","page":"e31995","source":"PubMed Central","title":"A case of EBV encephalomyelitis with positive anti-GFAP-IgG antibody with recurrent fever and dysuresia as the main symptoms: Case report and retrospective analysis","title-short":"A case of EBV encephalomyelitis with positive anti-GFAP-IgG antibody with recurrent fever and dysuresia as the main symptoms","volume":"101","author":[{"family":"Wang","given":"Lulu"},{"family":"Dong","given":"Lulu"},{"family":"Zhao","given":"Mingmin"},{"family":"Jiang","given":"Chao"},{"family":"Geng","given":"Minxia"},{"family":"Li","given":"Shuang"},{"family":"Xing","given":"Jiahao"},{"family":"Wang","given":"Tianjun"}],"issued":{"date-parts":[["2022",12,2]]}}}],"schema":"https://github.com/citation-style-language/schema/raw/master/csl-citation.json"} </w:instrText>
            </w:r>
            <w:r w:rsidRPr="00C9145C">
              <w:rPr>
                <w:rFonts w:ascii="Times New Roman" w:eastAsia="Times New Roman" w:hAnsi="Times New Roman" w:cs="Times New Roman"/>
                <w:sz w:val="14"/>
                <w:szCs w:val="14"/>
              </w:rPr>
              <w:fldChar w:fldCharType="separate"/>
            </w:r>
            <w:r w:rsidR="00B55664" w:rsidRPr="00C9145C">
              <w:rPr>
                <w:rFonts w:ascii="Times New Roman" w:hAnsi="Times New Roman" w:cs="Times New Roman"/>
                <w:sz w:val="14"/>
              </w:rPr>
              <w:t>(</w:t>
            </w:r>
            <w:r w:rsidR="009F7C78" w:rsidRPr="00C9145C">
              <w:rPr>
                <w:rFonts w:ascii="Times New Roman" w:hAnsi="Times New Roman" w:cs="Times New Roman" w:hint="eastAsia"/>
                <w:sz w:val="14"/>
              </w:rPr>
              <w:t>10</w:t>
            </w:r>
            <w:r w:rsidR="00B55664" w:rsidRPr="00C9145C">
              <w:rPr>
                <w:rFonts w:ascii="Times New Roman" w:hAnsi="Times New Roman" w:cs="Times New Roman"/>
                <w:sz w:val="14"/>
              </w:rPr>
              <w:t>)</w:t>
            </w:r>
            <w:r w:rsidRPr="00C9145C">
              <w:rPr>
                <w:rFonts w:ascii="Times New Roman" w:eastAsia="Times New Roman" w:hAnsi="Times New Roman" w:cs="Times New Roman"/>
                <w:sz w:val="14"/>
                <w:szCs w:val="14"/>
              </w:rPr>
              <w:fldChar w:fldCharType="end"/>
            </w:r>
          </w:p>
        </w:tc>
        <w:tc>
          <w:tcPr>
            <w:tcW w:w="668" w:type="dxa"/>
            <w:tcBorders>
              <w:top w:val="nil"/>
              <w:left w:val="nil"/>
              <w:bottom w:val="single" w:sz="4" w:space="0" w:color="auto"/>
              <w:right w:val="single" w:sz="4" w:space="0" w:color="auto"/>
            </w:tcBorders>
            <w:shd w:val="clear" w:color="auto" w:fill="auto"/>
            <w:vAlign w:val="center"/>
          </w:tcPr>
          <w:p w14:paraId="404643B1"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37M</w:t>
            </w:r>
          </w:p>
        </w:tc>
        <w:tc>
          <w:tcPr>
            <w:tcW w:w="1386" w:type="dxa"/>
            <w:tcBorders>
              <w:top w:val="nil"/>
              <w:left w:val="nil"/>
              <w:bottom w:val="single" w:sz="4" w:space="0" w:color="auto"/>
              <w:right w:val="single" w:sz="4" w:space="0" w:color="auto"/>
            </w:tcBorders>
            <w:shd w:val="clear" w:color="auto" w:fill="auto"/>
            <w:vAlign w:val="center"/>
          </w:tcPr>
          <w:p w14:paraId="629FB903"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Fever, headache, shivering, poor spirit, poor appetite</w:t>
            </w:r>
          </w:p>
        </w:tc>
        <w:tc>
          <w:tcPr>
            <w:tcW w:w="579" w:type="dxa"/>
            <w:tcBorders>
              <w:top w:val="nil"/>
              <w:left w:val="nil"/>
              <w:bottom w:val="single" w:sz="4" w:space="0" w:color="auto"/>
              <w:right w:val="single" w:sz="4" w:space="0" w:color="auto"/>
            </w:tcBorders>
            <w:shd w:val="clear" w:color="auto" w:fill="auto"/>
            <w:vAlign w:val="center"/>
          </w:tcPr>
          <w:p w14:paraId="24898E85"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22</w:t>
            </w:r>
          </w:p>
        </w:tc>
        <w:tc>
          <w:tcPr>
            <w:tcW w:w="601" w:type="dxa"/>
            <w:tcBorders>
              <w:top w:val="nil"/>
              <w:left w:val="nil"/>
              <w:bottom w:val="single" w:sz="4" w:space="0" w:color="auto"/>
              <w:right w:val="single" w:sz="4" w:space="0" w:color="auto"/>
            </w:tcBorders>
            <w:shd w:val="clear" w:color="auto" w:fill="auto"/>
            <w:vAlign w:val="center"/>
          </w:tcPr>
          <w:p w14:paraId="4C2D4368"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2680</w:t>
            </w:r>
          </w:p>
        </w:tc>
        <w:tc>
          <w:tcPr>
            <w:tcW w:w="851" w:type="dxa"/>
            <w:tcBorders>
              <w:top w:val="nil"/>
              <w:left w:val="nil"/>
              <w:bottom w:val="single" w:sz="4" w:space="0" w:color="auto"/>
              <w:right w:val="single" w:sz="4" w:space="0" w:color="auto"/>
            </w:tcBorders>
            <w:shd w:val="clear" w:color="auto" w:fill="auto"/>
            <w:vAlign w:val="center"/>
          </w:tcPr>
          <w:p w14:paraId="7F7FC45E"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137</w:t>
            </w:r>
          </w:p>
        </w:tc>
        <w:tc>
          <w:tcPr>
            <w:tcW w:w="850" w:type="dxa"/>
            <w:tcBorders>
              <w:top w:val="nil"/>
              <w:left w:val="nil"/>
              <w:bottom w:val="single" w:sz="4" w:space="0" w:color="auto"/>
              <w:right w:val="single" w:sz="4" w:space="0" w:color="auto"/>
            </w:tcBorders>
            <w:shd w:val="clear" w:color="auto" w:fill="auto"/>
            <w:vAlign w:val="center"/>
          </w:tcPr>
          <w:p w14:paraId="639D5750"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0.08</w:t>
            </w:r>
          </w:p>
        </w:tc>
        <w:tc>
          <w:tcPr>
            <w:tcW w:w="943" w:type="dxa"/>
            <w:tcBorders>
              <w:top w:val="nil"/>
              <w:left w:val="nil"/>
              <w:bottom w:val="single" w:sz="4" w:space="0" w:color="auto"/>
              <w:right w:val="single" w:sz="4" w:space="0" w:color="auto"/>
            </w:tcBorders>
            <w:shd w:val="clear" w:color="auto" w:fill="auto"/>
            <w:vAlign w:val="center"/>
          </w:tcPr>
          <w:p w14:paraId="262B79FF"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15</w:t>
            </w:r>
          </w:p>
        </w:tc>
        <w:tc>
          <w:tcPr>
            <w:tcW w:w="1104" w:type="dxa"/>
            <w:tcBorders>
              <w:top w:val="nil"/>
              <w:left w:val="nil"/>
              <w:bottom w:val="single" w:sz="4" w:space="0" w:color="auto"/>
              <w:right w:val="single" w:sz="4" w:space="0" w:color="auto"/>
            </w:tcBorders>
            <w:shd w:val="clear" w:color="auto" w:fill="auto"/>
            <w:vAlign w:val="center"/>
          </w:tcPr>
          <w:p w14:paraId="6CF3EE9F"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IVIG (0.4 g/(kg d) x 2 courses</w:t>
            </w:r>
          </w:p>
        </w:tc>
        <w:tc>
          <w:tcPr>
            <w:tcW w:w="959" w:type="dxa"/>
            <w:tcBorders>
              <w:top w:val="nil"/>
              <w:left w:val="nil"/>
              <w:bottom w:val="single" w:sz="4" w:space="0" w:color="auto"/>
              <w:right w:val="single" w:sz="4" w:space="0" w:color="auto"/>
            </w:tcBorders>
            <w:shd w:val="clear" w:color="auto" w:fill="auto"/>
            <w:vAlign w:val="center"/>
          </w:tcPr>
          <w:p w14:paraId="6516326F"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Resolved</w:t>
            </w:r>
          </w:p>
        </w:tc>
      </w:tr>
      <w:tr w:rsidR="00C925DD" w:rsidRPr="00C37244" w14:paraId="78BE98B1" w14:textId="77777777" w:rsidTr="00796C4D">
        <w:trPr>
          <w:trHeight w:val="1034"/>
        </w:trPr>
        <w:tc>
          <w:tcPr>
            <w:tcW w:w="505" w:type="dxa"/>
            <w:tcBorders>
              <w:top w:val="nil"/>
              <w:left w:val="single" w:sz="4" w:space="0" w:color="auto"/>
              <w:bottom w:val="single" w:sz="4" w:space="0" w:color="auto"/>
              <w:right w:val="single" w:sz="4" w:space="0" w:color="auto"/>
            </w:tcBorders>
            <w:shd w:val="clear" w:color="auto" w:fill="auto"/>
            <w:vAlign w:val="center"/>
          </w:tcPr>
          <w:p w14:paraId="68DDF902"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8</w:t>
            </w:r>
          </w:p>
        </w:tc>
        <w:tc>
          <w:tcPr>
            <w:tcW w:w="792" w:type="dxa"/>
            <w:tcBorders>
              <w:top w:val="nil"/>
              <w:left w:val="nil"/>
              <w:bottom w:val="single" w:sz="4" w:space="0" w:color="auto"/>
              <w:right w:val="single" w:sz="4" w:space="0" w:color="auto"/>
            </w:tcBorders>
            <w:shd w:val="clear" w:color="auto" w:fill="auto"/>
            <w:vAlign w:val="center"/>
          </w:tcPr>
          <w:p w14:paraId="26A6AFA6" w14:textId="4C22DFC5" w:rsidR="00C925DD" w:rsidRPr="00C9145C" w:rsidRDefault="00C925DD" w:rsidP="00D64FA7">
            <w:pPr>
              <w:rPr>
                <w:rFonts w:ascii="Times New Roman" w:hAnsi="Times New Roman" w:cs="Times New Roman"/>
                <w:sz w:val="14"/>
                <w:szCs w:val="14"/>
              </w:rPr>
            </w:pPr>
            <w:r w:rsidRPr="00C9145C">
              <w:rPr>
                <w:rFonts w:ascii="Times New Roman" w:eastAsia="Times New Roman" w:hAnsi="Times New Roman" w:cs="Times New Roman"/>
                <w:sz w:val="14"/>
                <w:szCs w:val="14"/>
              </w:rPr>
              <w:t>Takanashi et al. 2021</w:t>
            </w:r>
            <w:r w:rsidRPr="00C9145C">
              <w:rPr>
                <w:rFonts w:ascii="Times New Roman" w:eastAsia="Times New Roman" w:hAnsi="Times New Roman" w:cs="Times New Roman"/>
                <w:sz w:val="14"/>
                <w:szCs w:val="14"/>
              </w:rPr>
              <w:fldChar w:fldCharType="begin"/>
            </w:r>
            <w:r w:rsidR="00B55664" w:rsidRPr="00C9145C">
              <w:rPr>
                <w:rFonts w:ascii="Times New Roman" w:eastAsia="Times New Roman" w:hAnsi="Times New Roman" w:cs="Times New Roman"/>
                <w:sz w:val="14"/>
                <w:szCs w:val="14"/>
              </w:rPr>
              <w:instrText xml:space="preserve"> ADDIN ZOTERO_ITEM CSL_CITATION {"citationID":"8fXcxbsI","properties":{"formattedCitation":"(5)","plainCitation":"(5)","noteIndex":0},"citationItems":[{"id":413,"uris":["http://zotero.org/users/11423929/items/7FWSSYDE"],"itemData":{"id":413,"type":"article-journal","abstract":"Background In autoimmune glial fibrillary acidic protein (GFAP) astrocytopathy, brain magnetic resonance imaging (MRI) shows no abnormal findings in many cases, which attributes to misdiagnoses. To our knowledge, magnetic resonance spectroscopy (MRS) findings have never been reported for autoimmune GFAP astrocytopathy. Case presentation A 17-year-old girl presented with impaired consciousness and delirium; her cerebrospinal fluid was positive for Epstein–Barr virus. Reduced diffusion in the splenium of the corpus callosum on brain MRI led to a tentative diagnosis of mild encephalitis/encephalopathy with a reversible splenial lesion. On repeatedly carrying out brain MRI, new lesions characteristic of autoimmune GFAP astrocytopathy were identified. MRS showed a low concentration of myo-inositol, an astrocyte-specific marker. Intravenous methylprednisolone gradually resolved the patient’s symptoms, while the MRS findings were normalized as her symptoms resolved. Anti-GFAP antibody was positive in the patient’s cerebrospinal fluid. Conclusions The MRI findings characteristic of autoimmune GFAP astrocytopathy might not be present at the illness onset when triggered by Epstein–Barr virus reactivation. Our results suggest that MRS might show astrocytic dysfunction and be useful in evaluating treatment progress.","container-title":"Clinical and Experimental Neuroimmunology","DOI":"10.1111/cen3.12659","ISSN":"1759-1961","issue":"2","language":"en","license":"© 2021 Japanese Society for Neuroimmunology","note":"_eprint: https://onlinelibrary.wiley.com/doi/pdf/10.1111/cen3.12659","page":"106-110","source":"Wiley Online Library","title":"Case of autoimmune glial fibrillary acidic protein astrocytopathy associated with Epstein–Barr virus reactivation","volume":"13","author":[{"family":"So","given":"Hayato"},{"family":"Ohashi","given":"Takashi"},{"family":"Yamagishi","given":"Sae"},{"family":"Mori","given":"Harushi"},{"family":"Takanashi","given":"Jun-ichi"}],"issued":{"date-parts":[["2022"]]}}}],"schema":"https://github.com/citation-style-language/schema/raw/master/csl-citation.json"} </w:instrText>
            </w:r>
            <w:r w:rsidRPr="00C9145C">
              <w:rPr>
                <w:rFonts w:ascii="Times New Roman" w:eastAsia="Times New Roman" w:hAnsi="Times New Roman" w:cs="Times New Roman"/>
                <w:sz w:val="14"/>
                <w:szCs w:val="14"/>
              </w:rPr>
              <w:fldChar w:fldCharType="separate"/>
            </w:r>
            <w:r w:rsidR="00B55664" w:rsidRPr="00C9145C">
              <w:rPr>
                <w:rFonts w:ascii="Times New Roman" w:hAnsi="Times New Roman" w:cs="Times New Roman"/>
                <w:sz w:val="14"/>
              </w:rPr>
              <w:t>(</w:t>
            </w:r>
            <w:r w:rsidR="009F7C78" w:rsidRPr="00C9145C">
              <w:rPr>
                <w:rFonts w:ascii="Times New Roman" w:hAnsi="Times New Roman" w:cs="Times New Roman" w:hint="eastAsia"/>
                <w:sz w:val="14"/>
              </w:rPr>
              <w:t>11</w:t>
            </w:r>
            <w:r w:rsidR="00B55664" w:rsidRPr="00C9145C">
              <w:rPr>
                <w:rFonts w:ascii="Times New Roman" w:hAnsi="Times New Roman" w:cs="Times New Roman"/>
                <w:sz w:val="14"/>
              </w:rPr>
              <w:t>)</w:t>
            </w:r>
            <w:r w:rsidRPr="00C9145C">
              <w:rPr>
                <w:rFonts w:ascii="Times New Roman" w:eastAsia="Times New Roman" w:hAnsi="Times New Roman" w:cs="Times New Roman"/>
                <w:sz w:val="14"/>
                <w:szCs w:val="14"/>
              </w:rPr>
              <w:fldChar w:fldCharType="end"/>
            </w:r>
          </w:p>
        </w:tc>
        <w:tc>
          <w:tcPr>
            <w:tcW w:w="668" w:type="dxa"/>
            <w:tcBorders>
              <w:top w:val="nil"/>
              <w:left w:val="nil"/>
              <w:bottom w:val="single" w:sz="4" w:space="0" w:color="auto"/>
              <w:right w:val="single" w:sz="4" w:space="0" w:color="auto"/>
            </w:tcBorders>
            <w:shd w:val="clear" w:color="auto" w:fill="auto"/>
            <w:vAlign w:val="center"/>
          </w:tcPr>
          <w:p w14:paraId="63AD38B0"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17F</w:t>
            </w:r>
          </w:p>
        </w:tc>
        <w:tc>
          <w:tcPr>
            <w:tcW w:w="1386" w:type="dxa"/>
            <w:tcBorders>
              <w:top w:val="nil"/>
              <w:left w:val="nil"/>
              <w:bottom w:val="single" w:sz="4" w:space="0" w:color="auto"/>
              <w:right w:val="single" w:sz="4" w:space="0" w:color="auto"/>
            </w:tcBorders>
            <w:shd w:val="clear" w:color="auto" w:fill="auto"/>
            <w:vAlign w:val="center"/>
          </w:tcPr>
          <w:p w14:paraId="0764996C"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Headache, malaise, fever, reduced consciousness, generalized allodynia, paraplegia</w:t>
            </w:r>
          </w:p>
        </w:tc>
        <w:tc>
          <w:tcPr>
            <w:tcW w:w="579" w:type="dxa"/>
            <w:tcBorders>
              <w:top w:val="nil"/>
              <w:left w:val="nil"/>
              <w:bottom w:val="single" w:sz="4" w:space="0" w:color="auto"/>
              <w:right w:val="single" w:sz="4" w:space="0" w:color="auto"/>
            </w:tcBorders>
            <w:shd w:val="clear" w:color="auto" w:fill="auto"/>
            <w:vAlign w:val="center"/>
          </w:tcPr>
          <w:p w14:paraId="395E83C6"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N/A</w:t>
            </w:r>
          </w:p>
        </w:tc>
        <w:tc>
          <w:tcPr>
            <w:tcW w:w="601" w:type="dxa"/>
            <w:tcBorders>
              <w:top w:val="nil"/>
              <w:left w:val="nil"/>
              <w:bottom w:val="single" w:sz="4" w:space="0" w:color="auto"/>
              <w:right w:val="single" w:sz="4" w:space="0" w:color="auto"/>
            </w:tcBorders>
            <w:shd w:val="clear" w:color="auto" w:fill="auto"/>
            <w:vAlign w:val="center"/>
          </w:tcPr>
          <w:p w14:paraId="79F21DF7"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2800</w:t>
            </w:r>
          </w:p>
        </w:tc>
        <w:tc>
          <w:tcPr>
            <w:tcW w:w="851" w:type="dxa"/>
            <w:tcBorders>
              <w:top w:val="nil"/>
              <w:left w:val="nil"/>
              <w:bottom w:val="single" w:sz="4" w:space="0" w:color="auto"/>
              <w:right w:val="single" w:sz="4" w:space="0" w:color="auto"/>
            </w:tcBorders>
            <w:shd w:val="clear" w:color="auto" w:fill="auto"/>
            <w:vAlign w:val="center"/>
          </w:tcPr>
          <w:p w14:paraId="5874812B"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157</w:t>
            </w:r>
          </w:p>
        </w:tc>
        <w:tc>
          <w:tcPr>
            <w:tcW w:w="850" w:type="dxa"/>
            <w:tcBorders>
              <w:top w:val="nil"/>
              <w:left w:val="nil"/>
              <w:bottom w:val="single" w:sz="4" w:space="0" w:color="auto"/>
              <w:right w:val="single" w:sz="4" w:space="0" w:color="auto"/>
            </w:tcBorders>
            <w:shd w:val="clear" w:color="auto" w:fill="auto"/>
            <w:vAlign w:val="center"/>
          </w:tcPr>
          <w:p w14:paraId="088C32F4"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Unknown</w:t>
            </w:r>
          </w:p>
        </w:tc>
        <w:tc>
          <w:tcPr>
            <w:tcW w:w="943" w:type="dxa"/>
            <w:tcBorders>
              <w:top w:val="nil"/>
              <w:left w:val="nil"/>
              <w:bottom w:val="single" w:sz="4" w:space="0" w:color="auto"/>
              <w:right w:val="single" w:sz="4" w:space="0" w:color="auto"/>
            </w:tcBorders>
            <w:shd w:val="clear" w:color="auto" w:fill="auto"/>
            <w:vAlign w:val="center"/>
          </w:tcPr>
          <w:p w14:paraId="058B7670"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44</w:t>
            </w:r>
          </w:p>
        </w:tc>
        <w:tc>
          <w:tcPr>
            <w:tcW w:w="1104" w:type="dxa"/>
            <w:tcBorders>
              <w:top w:val="nil"/>
              <w:left w:val="nil"/>
              <w:bottom w:val="single" w:sz="4" w:space="0" w:color="auto"/>
              <w:right w:val="single" w:sz="4" w:space="0" w:color="auto"/>
            </w:tcBorders>
            <w:shd w:val="clear" w:color="auto" w:fill="auto"/>
            <w:vAlign w:val="center"/>
          </w:tcPr>
          <w:p w14:paraId="524B5837" w14:textId="77777777" w:rsidR="00C925DD" w:rsidRPr="00C37244" w:rsidRDefault="00C925DD" w:rsidP="00D64FA7">
            <w:pP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IV MP (1g/day for 3 days) x 2 courses</w:t>
            </w:r>
          </w:p>
        </w:tc>
        <w:tc>
          <w:tcPr>
            <w:tcW w:w="959" w:type="dxa"/>
            <w:tcBorders>
              <w:top w:val="nil"/>
              <w:left w:val="nil"/>
              <w:bottom w:val="single" w:sz="4" w:space="0" w:color="auto"/>
              <w:right w:val="single" w:sz="4" w:space="0" w:color="auto"/>
            </w:tcBorders>
            <w:shd w:val="clear" w:color="auto" w:fill="auto"/>
            <w:vAlign w:val="center"/>
          </w:tcPr>
          <w:p w14:paraId="2F84124B" w14:textId="77777777" w:rsidR="00C925DD" w:rsidRPr="00C37244" w:rsidRDefault="00C925DD" w:rsidP="00D64FA7">
            <w:pPr>
              <w:jc w:val="center"/>
              <w:rPr>
                <w:rFonts w:ascii="Times New Roman" w:eastAsia="Times New Roman" w:hAnsi="Times New Roman" w:cs="Times New Roman"/>
                <w:color w:val="000000" w:themeColor="text1"/>
                <w:sz w:val="14"/>
                <w:szCs w:val="14"/>
              </w:rPr>
            </w:pPr>
            <w:r w:rsidRPr="00C37244">
              <w:rPr>
                <w:rFonts w:ascii="Times New Roman" w:eastAsia="Times New Roman" w:hAnsi="Times New Roman" w:cs="Times New Roman"/>
                <w:color w:val="000000" w:themeColor="text1"/>
                <w:sz w:val="14"/>
                <w:szCs w:val="14"/>
              </w:rPr>
              <w:t>Resolved</w:t>
            </w:r>
          </w:p>
        </w:tc>
      </w:tr>
    </w:tbl>
    <w:p w14:paraId="42F4A926" w14:textId="77777777" w:rsidR="00C925DD" w:rsidRPr="00C37244" w:rsidRDefault="00C925DD" w:rsidP="00C925DD">
      <w:pPr>
        <w:rPr>
          <w:rFonts w:ascii="Times New Roman" w:hAnsi="Times New Roman" w:cs="Times New Roman"/>
          <w:color w:val="000000" w:themeColor="text1"/>
        </w:rPr>
      </w:pPr>
    </w:p>
    <w:p w14:paraId="3F09F18B" w14:textId="223527A7" w:rsidR="00C925DD" w:rsidRPr="00C37244" w:rsidRDefault="00C925DD" w:rsidP="009C2D1B">
      <w:pPr>
        <w:spacing w:line="480" w:lineRule="auto"/>
        <w:rPr>
          <w:rFonts w:ascii="Times New Roman" w:hAnsi="Times New Roman" w:cs="Times New Roman"/>
          <w:b/>
          <w:bCs/>
          <w:color w:val="000000" w:themeColor="text1"/>
        </w:rPr>
      </w:pPr>
      <w:r>
        <w:rPr>
          <w:rFonts w:ascii="Times New Roman" w:hAnsi="Times New Roman" w:cs="Times New Roman"/>
          <w:b/>
          <w:bCs/>
          <w:color w:val="000000" w:themeColor="text1"/>
        </w:rPr>
        <w:t xml:space="preserve">Supplementary </w:t>
      </w:r>
      <w:r w:rsidRPr="00C37244">
        <w:rPr>
          <w:rFonts w:ascii="Times New Roman" w:hAnsi="Times New Roman" w:cs="Times New Roman"/>
          <w:b/>
          <w:bCs/>
          <w:color w:val="000000" w:themeColor="text1"/>
        </w:rPr>
        <w:t>Table 1: Summary of reported cases of EBV-</w:t>
      </w:r>
      <w:r w:rsidRPr="00C37244">
        <w:rPr>
          <w:rFonts w:ascii="Times New Roman" w:hAnsi="Times New Roman" w:cs="Times New Roman" w:hint="eastAsia"/>
          <w:b/>
          <w:bCs/>
          <w:color w:val="000000" w:themeColor="text1"/>
        </w:rPr>
        <w:t xml:space="preserve">related </w:t>
      </w:r>
      <w:r w:rsidRPr="00C37244">
        <w:rPr>
          <w:rFonts w:ascii="Times New Roman" w:hAnsi="Times New Roman" w:cs="Times New Roman"/>
          <w:b/>
          <w:bCs/>
          <w:color w:val="000000" w:themeColor="text1"/>
        </w:rPr>
        <w:t xml:space="preserve">GFAP-A. </w:t>
      </w:r>
    </w:p>
    <w:p w14:paraId="7B843A0F" w14:textId="77777777" w:rsidR="00C925DD" w:rsidRPr="009C2D1B" w:rsidRDefault="00C925DD" w:rsidP="009C2D1B">
      <w:pPr>
        <w:spacing w:line="480" w:lineRule="auto"/>
        <w:rPr>
          <w:rFonts w:ascii="Times New Roman" w:hAnsi="Times New Roman" w:cs="Times New Roman"/>
          <w:color w:val="000000" w:themeColor="text1"/>
          <w:sz w:val="22"/>
          <w:szCs w:val="22"/>
        </w:rPr>
      </w:pPr>
      <w:r w:rsidRPr="009C2D1B">
        <w:rPr>
          <w:rFonts w:ascii="Times New Roman" w:eastAsia="Times New Roman" w:hAnsi="Times New Roman" w:cs="Times New Roman"/>
          <w:color w:val="000000" w:themeColor="text1"/>
          <w:sz w:val="22"/>
          <w:szCs w:val="22"/>
        </w:rPr>
        <w:t xml:space="preserve">This table </w:t>
      </w:r>
      <w:r w:rsidRPr="009C2D1B">
        <w:rPr>
          <w:rFonts w:ascii="Times New Roman" w:hAnsi="Times New Roman" w:cs="Times New Roman"/>
          <w:color w:val="000000" w:themeColor="text1"/>
          <w:sz w:val="22"/>
          <w:szCs w:val="22"/>
        </w:rPr>
        <w:t>shows</w:t>
      </w:r>
      <w:r w:rsidRPr="009C2D1B">
        <w:rPr>
          <w:rFonts w:ascii="Times New Roman" w:eastAsia="Times New Roman" w:hAnsi="Times New Roman" w:cs="Times New Roman"/>
          <w:color w:val="000000" w:themeColor="text1"/>
          <w:sz w:val="22"/>
          <w:szCs w:val="22"/>
        </w:rPr>
        <w:t xml:space="preserve"> the clinical characteristics, diagnostic findings, and treatment outcomes for </w:t>
      </w:r>
      <w:r w:rsidRPr="009C2D1B">
        <w:rPr>
          <w:rFonts w:ascii="Times New Roman" w:hAnsi="Times New Roman" w:cs="Times New Roman"/>
          <w:color w:val="000000" w:themeColor="text1"/>
          <w:sz w:val="22"/>
          <w:szCs w:val="22"/>
        </w:rPr>
        <w:t xml:space="preserve">identified cases of </w:t>
      </w:r>
      <w:r w:rsidRPr="009C2D1B">
        <w:rPr>
          <w:rFonts w:ascii="Times New Roman" w:eastAsia="Times New Roman" w:hAnsi="Times New Roman" w:cs="Times New Roman"/>
          <w:color w:val="000000" w:themeColor="text1"/>
          <w:sz w:val="22"/>
          <w:szCs w:val="22"/>
        </w:rPr>
        <w:t>EBV</w:t>
      </w:r>
      <w:r w:rsidRPr="009C2D1B">
        <w:rPr>
          <w:rFonts w:ascii="Times New Roman" w:hAnsi="Times New Roman" w:cs="Times New Roman"/>
          <w:color w:val="000000" w:themeColor="text1"/>
          <w:sz w:val="22"/>
          <w:szCs w:val="22"/>
        </w:rPr>
        <w:t>-related GFAP-A</w:t>
      </w:r>
      <w:r w:rsidRPr="009C2D1B">
        <w:rPr>
          <w:rFonts w:ascii="Times New Roman" w:eastAsia="Times New Roman" w:hAnsi="Times New Roman" w:cs="Times New Roman"/>
          <w:color w:val="000000" w:themeColor="text1"/>
          <w:sz w:val="22"/>
          <w:szCs w:val="22"/>
        </w:rPr>
        <w:t>. Data sources are referenced accordingly.</w:t>
      </w:r>
      <w:r w:rsidRPr="009C2D1B">
        <w:rPr>
          <w:rFonts w:ascii="Times New Roman" w:hAnsi="Times New Roman" w:cs="Times New Roman"/>
          <w:color w:val="000000" w:themeColor="text1"/>
          <w:sz w:val="22"/>
          <w:szCs w:val="22"/>
        </w:rPr>
        <w:t xml:space="preserve"> </w:t>
      </w:r>
    </w:p>
    <w:p w14:paraId="1AB4461D" w14:textId="77777777" w:rsidR="00C925DD" w:rsidRPr="009C2D1B" w:rsidRDefault="00C925DD" w:rsidP="009C2D1B">
      <w:pPr>
        <w:spacing w:line="480" w:lineRule="auto"/>
        <w:rPr>
          <w:rFonts w:ascii="Times New Roman" w:hAnsi="Times New Roman" w:cs="Times New Roman"/>
          <w:color w:val="000000" w:themeColor="text1"/>
          <w:sz w:val="22"/>
          <w:szCs w:val="22"/>
        </w:rPr>
      </w:pPr>
      <w:r w:rsidRPr="009C2D1B">
        <w:rPr>
          <w:rFonts w:ascii="Times New Roman" w:hAnsi="Times New Roman" w:cs="Times New Roman"/>
          <w:color w:val="000000" w:themeColor="text1"/>
          <w:sz w:val="22"/>
          <w:szCs w:val="22"/>
        </w:rPr>
        <w:t>* indicates where treatment dosage was not specified.</w:t>
      </w:r>
    </w:p>
    <w:p w14:paraId="0001BA82" w14:textId="29F756CD" w:rsidR="00E50AC5" w:rsidRPr="0056790D" w:rsidRDefault="00C925DD" w:rsidP="0056790D">
      <w:pPr>
        <w:spacing w:line="480" w:lineRule="auto"/>
        <w:rPr>
          <w:rFonts w:ascii="Times New Roman" w:hAnsi="Times New Roman" w:cs="Times New Roman"/>
          <w:color w:val="000000" w:themeColor="text1"/>
          <w:sz w:val="22"/>
          <w:szCs w:val="22"/>
        </w:rPr>
      </w:pPr>
      <w:r w:rsidRPr="009C2D1B">
        <w:rPr>
          <w:rFonts w:ascii="Times New Roman" w:hAnsi="Times New Roman" w:cs="Times New Roman"/>
          <w:color w:val="000000" w:themeColor="text1"/>
          <w:sz w:val="22"/>
          <w:szCs w:val="22"/>
        </w:rPr>
        <w:lastRenderedPageBreak/>
        <w:t>Abbreviations: F/M = female/male, mNGS = metagenomic next-generation sequencing, PCR = polymerase chain reaction, CSF = cerebrospinal Fluid, IV MP = intravenous methylprednisolone, MMF: Mycophenolate Mofetil, IVIG = Intravenous Immunoglobulin.</w:t>
      </w:r>
    </w:p>
    <w:sectPr w:rsidR="00E50AC5" w:rsidRPr="0056790D" w:rsidSect="00EC1942">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351F2BD" w14:textId="77777777" w:rsidR="0011313D" w:rsidRDefault="0011313D" w:rsidP="00FE16BF">
      <w:r>
        <w:separator/>
      </w:r>
    </w:p>
  </w:endnote>
  <w:endnote w:type="continuationSeparator" w:id="0">
    <w:p w14:paraId="481DA90D" w14:textId="77777777" w:rsidR="0011313D" w:rsidRDefault="0011313D" w:rsidP="00FE16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CA026F" w14:textId="77777777" w:rsidR="0011313D" w:rsidRDefault="0011313D" w:rsidP="00FE16BF">
      <w:r>
        <w:separator/>
      </w:r>
    </w:p>
  </w:footnote>
  <w:footnote w:type="continuationSeparator" w:id="0">
    <w:p w14:paraId="68BC95A0" w14:textId="77777777" w:rsidR="0011313D" w:rsidRDefault="0011313D" w:rsidP="00FE16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28E0E24"/>
    <w:multiLevelType w:val="hybridMultilevel"/>
    <w:tmpl w:val="0B4A74FC"/>
    <w:lvl w:ilvl="0" w:tplc="0409000F">
      <w:start w:val="15"/>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7CA807C0"/>
    <w:multiLevelType w:val="hybridMultilevel"/>
    <w:tmpl w:val="E806EA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E6C37AA"/>
    <w:multiLevelType w:val="hybridMultilevel"/>
    <w:tmpl w:val="4FD285CA"/>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448090350">
    <w:abstractNumId w:val="1"/>
  </w:num>
  <w:num w:numId="2" w16cid:durableId="1695811875">
    <w:abstractNumId w:val="2"/>
  </w:num>
  <w:num w:numId="3" w16cid:durableId="12180828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6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3DC"/>
    <w:rsid w:val="00006C23"/>
    <w:rsid w:val="000071C9"/>
    <w:rsid w:val="00007356"/>
    <w:rsid w:val="00022E5D"/>
    <w:rsid w:val="00023968"/>
    <w:rsid w:val="00033B30"/>
    <w:rsid w:val="00034315"/>
    <w:rsid w:val="00063443"/>
    <w:rsid w:val="0006575C"/>
    <w:rsid w:val="00066956"/>
    <w:rsid w:val="00067E2E"/>
    <w:rsid w:val="0008375A"/>
    <w:rsid w:val="000D1CBB"/>
    <w:rsid w:val="000D20D0"/>
    <w:rsid w:val="000D5F62"/>
    <w:rsid w:val="000D5FB3"/>
    <w:rsid w:val="000E6839"/>
    <w:rsid w:val="000E77D3"/>
    <w:rsid w:val="000F583F"/>
    <w:rsid w:val="000F7AE5"/>
    <w:rsid w:val="001010BE"/>
    <w:rsid w:val="001050F7"/>
    <w:rsid w:val="0011313D"/>
    <w:rsid w:val="001336A2"/>
    <w:rsid w:val="00164F45"/>
    <w:rsid w:val="00186D2B"/>
    <w:rsid w:val="00186D69"/>
    <w:rsid w:val="001A065C"/>
    <w:rsid w:val="001A1094"/>
    <w:rsid w:val="001B2F46"/>
    <w:rsid w:val="001C46BC"/>
    <w:rsid w:val="001D1D20"/>
    <w:rsid w:val="001D5548"/>
    <w:rsid w:val="001D7BEA"/>
    <w:rsid w:val="001F2D26"/>
    <w:rsid w:val="00203C72"/>
    <w:rsid w:val="00210A23"/>
    <w:rsid w:val="00212EE8"/>
    <w:rsid w:val="00224342"/>
    <w:rsid w:val="00235D6B"/>
    <w:rsid w:val="00237C57"/>
    <w:rsid w:val="002502AC"/>
    <w:rsid w:val="00270E7F"/>
    <w:rsid w:val="0029388F"/>
    <w:rsid w:val="002A3719"/>
    <w:rsid w:val="002B1C04"/>
    <w:rsid w:val="002B2610"/>
    <w:rsid w:val="002D3E21"/>
    <w:rsid w:val="002E0112"/>
    <w:rsid w:val="002E3C80"/>
    <w:rsid w:val="002E5FB5"/>
    <w:rsid w:val="002F6154"/>
    <w:rsid w:val="00312F6C"/>
    <w:rsid w:val="0034659B"/>
    <w:rsid w:val="003571DC"/>
    <w:rsid w:val="00372611"/>
    <w:rsid w:val="00395E3E"/>
    <w:rsid w:val="003A162B"/>
    <w:rsid w:val="003A1CDA"/>
    <w:rsid w:val="003A4523"/>
    <w:rsid w:val="003B637E"/>
    <w:rsid w:val="003B79FE"/>
    <w:rsid w:val="003D3AE1"/>
    <w:rsid w:val="003E1622"/>
    <w:rsid w:val="003E38E0"/>
    <w:rsid w:val="003E5EED"/>
    <w:rsid w:val="003F2367"/>
    <w:rsid w:val="00411CB2"/>
    <w:rsid w:val="00426615"/>
    <w:rsid w:val="0042743A"/>
    <w:rsid w:val="00433F16"/>
    <w:rsid w:val="00434537"/>
    <w:rsid w:val="004412EE"/>
    <w:rsid w:val="004449B9"/>
    <w:rsid w:val="0045578A"/>
    <w:rsid w:val="00476112"/>
    <w:rsid w:val="00491E0C"/>
    <w:rsid w:val="004A18EE"/>
    <w:rsid w:val="004A243A"/>
    <w:rsid w:val="004B2E1E"/>
    <w:rsid w:val="004D0AF9"/>
    <w:rsid w:val="004D4B39"/>
    <w:rsid w:val="004E2185"/>
    <w:rsid w:val="004E4C17"/>
    <w:rsid w:val="004E5FF6"/>
    <w:rsid w:val="004F3D90"/>
    <w:rsid w:val="00505E54"/>
    <w:rsid w:val="0051492B"/>
    <w:rsid w:val="00545BE6"/>
    <w:rsid w:val="0054614D"/>
    <w:rsid w:val="0056790D"/>
    <w:rsid w:val="00572590"/>
    <w:rsid w:val="005771EE"/>
    <w:rsid w:val="005933DC"/>
    <w:rsid w:val="005970C6"/>
    <w:rsid w:val="005D4450"/>
    <w:rsid w:val="005E5E4F"/>
    <w:rsid w:val="005F08DD"/>
    <w:rsid w:val="00600F31"/>
    <w:rsid w:val="00602ED9"/>
    <w:rsid w:val="00605E60"/>
    <w:rsid w:val="00613146"/>
    <w:rsid w:val="006406A2"/>
    <w:rsid w:val="00646BDE"/>
    <w:rsid w:val="00653CE6"/>
    <w:rsid w:val="006613DC"/>
    <w:rsid w:val="006705F8"/>
    <w:rsid w:val="006741D5"/>
    <w:rsid w:val="00684455"/>
    <w:rsid w:val="0068598F"/>
    <w:rsid w:val="0068662C"/>
    <w:rsid w:val="00692983"/>
    <w:rsid w:val="006942C9"/>
    <w:rsid w:val="006A1484"/>
    <w:rsid w:val="006A2809"/>
    <w:rsid w:val="006C213F"/>
    <w:rsid w:val="006C7FB2"/>
    <w:rsid w:val="006D495D"/>
    <w:rsid w:val="00701943"/>
    <w:rsid w:val="00706368"/>
    <w:rsid w:val="00723C4E"/>
    <w:rsid w:val="00723CDE"/>
    <w:rsid w:val="00723F98"/>
    <w:rsid w:val="00724B36"/>
    <w:rsid w:val="00735EAE"/>
    <w:rsid w:val="00736E3B"/>
    <w:rsid w:val="00737640"/>
    <w:rsid w:val="00752312"/>
    <w:rsid w:val="00763B6B"/>
    <w:rsid w:val="007963D3"/>
    <w:rsid w:val="00796C4D"/>
    <w:rsid w:val="007A4297"/>
    <w:rsid w:val="007A6AD6"/>
    <w:rsid w:val="007A76B7"/>
    <w:rsid w:val="007B594E"/>
    <w:rsid w:val="007C03B6"/>
    <w:rsid w:val="007D2A4B"/>
    <w:rsid w:val="007D430F"/>
    <w:rsid w:val="007F15BA"/>
    <w:rsid w:val="007F6AE7"/>
    <w:rsid w:val="008128FE"/>
    <w:rsid w:val="0084232C"/>
    <w:rsid w:val="00850B00"/>
    <w:rsid w:val="00884891"/>
    <w:rsid w:val="00885B32"/>
    <w:rsid w:val="00892B60"/>
    <w:rsid w:val="00893EC6"/>
    <w:rsid w:val="00894079"/>
    <w:rsid w:val="0089760E"/>
    <w:rsid w:val="008A6B1B"/>
    <w:rsid w:val="008B6986"/>
    <w:rsid w:val="008C217D"/>
    <w:rsid w:val="008D13EC"/>
    <w:rsid w:val="008E1A8C"/>
    <w:rsid w:val="008E6B8D"/>
    <w:rsid w:val="008E6E63"/>
    <w:rsid w:val="009140BE"/>
    <w:rsid w:val="00915105"/>
    <w:rsid w:val="00982E30"/>
    <w:rsid w:val="00983204"/>
    <w:rsid w:val="00991B85"/>
    <w:rsid w:val="009A7965"/>
    <w:rsid w:val="009B06FF"/>
    <w:rsid w:val="009C2D1B"/>
    <w:rsid w:val="009D10B8"/>
    <w:rsid w:val="009E2725"/>
    <w:rsid w:val="009E6846"/>
    <w:rsid w:val="009F1198"/>
    <w:rsid w:val="009F6424"/>
    <w:rsid w:val="009F7C78"/>
    <w:rsid w:val="00A026BF"/>
    <w:rsid w:val="00A14F93"/>
    <w:rsid w:val="00A30EA1"/>
    <w:rsid w:val="00A35389"/>
    <w:rsid w:val="00A71F14"/>
    <w:rsid w:val="00A742A5"/>
    <w:rsid w:val="00A83B2C"/>
    <w:rsid w:val="00A85577"/>
    <w:rsid w:val="00AA4300"/>
    <w:rsid w:val="00AD77E0"/>
    <w:rsid w:val="00AF52FE"/>
    <w:rsid w:val="00B01CC5"/>
    <w:rsid w:val="00B02708"/>
    <w:rsid w:val="00B04D6F"/>
    <w:rsid w:val="00B10B2E"/>
    <w:rsid w:val="00B11608"/>
    <w:rsid w:val="00B206F2"/>
    <w:rsid w:val="00B304BB"/>
    <w:rsid w:val="00B31058"/>
    <w:rsid w:val="00B313B0"/>
    <w:rsid w:val="00B34AC8"/>
    <w:rsid w:val="00B43FA3"/>
    <w:rsid w:val="00B50355"/>
    <w:rsid w:val="00B50DF1"/>
    <w:rsid w:val="00B54AD1"/>
    <w:rsid w:val="00B55664"/>
    <w:rsid w:val="00B7646C"/>
    <w:rsid w:val="00B77956"/>
    <w:rsid w:val="00BB0321"/>
    <w:rsid w:val="00BB0E7D"/>
    <w:rsid w:val="00BE0F9B"/>
    <w:rsid w:val="00C16E35"/>
    <w:rsid w:val="00C353E3"/>
    <w:rsid w:val="00C5383F"/>
    <w:rsid w:val="00C64C3D"/>
    <w:rsid w:val="00C659EB"/>
    <w:rsid w:val="00C71FAC"/>
    <w:rsid w:val="00C808D5"/>
    <w:rsid w:val="00C82225"/>
    <w:rsid w:val="00C86176"/>
    <w:rsid w:val="00C9145C"/>
    <w:rsid w:val="00C925DD"/>
    <w:rsid w:val="00CA4A2A"/>
    <w:rsid w:val="00CA7539"/>
    <w:rsid w:val="00CB2F5A"/>
    <w:rsid w:val="00CB56DD"/>
    <w:rsid w:val="00CB59E9"/>
    <w:rsid w:val="00CC41C9"/>
    <w:rsid w:val="00CC633B"/>
    <w:rsid w:val="00CD7BD4"/>
    <w:rsid w:val="00D10174"/>
    <w:rsid w:val="00D102EC"/>
    <w:rsid w:val="00D15C07"/>
    <w:rsid w:val="00D20195"/>
    <w:rsid w:val="00D21469"/>
    <w:rsid w:val="00D242E5"/>
    <w:rsid w:val="00D35E60"/>
    <w:rsid w:val="00D45776"/>
    <w:rsid w:val="00D47CC0"/>
    <w:rsid w:val="00D63AA1"/>
    <w:rsid w:val="00D85CEA"/>
    <w:rsid w:val="00D906E3"/>
    <w:rsid w:val="00DA7E1E"/>
    <w:rsid w:val="00DE4CEE"/>
    <w:rsid w:val="00DF74FA"/>
    <w:rsid w:val="00E00BFA"/>
    <w:rsid w:val="00E12348"/>
    <w:rsid w:val="00E37F88"/>
    <w:rsid w:val="00E50AC5"/>
    <w:rsid w:val="00E55793"/>
    <w:rsid w:val="00E60BBC"/>
    <w:rsid w:val="00E81024"/>
    <w:rsid w:val="00E84193"/>
    <w:rsid w:val="00E85D14"/>
    <w:rsid w:val="00EB4F9D"/>
    <w:rsid w:val="00EB5E92"/>
    <w:rsid w:val="00EC1942"/>
    <w:rsid w:val="00EE655E"/>
    <w:rsid w:val="00EF2DD3"/>
    <w:rsid w:val="00EF6A37"/>
    <w:rsid w:val="00F10801"/>
    <w:rsid w:val="00F11BBF"/>
    <w:rsid w:val="00F11D55"/>
    <w:rsid w:val="00F16565"/>
    <w:rsid w:val="00F53DF3"/>
    <w:rsid w:val="00F637B4"/>
    <w:rsid w:val="00F93C18"/>
    <w:rsid w:val="00FB44AE"/>
    <w:rsid w:val="00FB6B7B"/>
    <w:rsid w:val="00FE16BF"/>
    <w:rsid w:val="00FE30F3"/>
    <w:rsid w:val="00FE3413"/>
    <w:rsid w:val="00FF2B8A"/>
    <w:rsid w:val="00FF71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7E8B2"/>
  <w15:chartTrackingRefBased/>
  <w15:docId w15:val="{0AD78FAB-C716-E44B-B5C8-3343B6C77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925DD"/>
    <w:pPr>
      <w:spacing w:before="100" w:beforeAutospacing="1" w:after="100" w:afterAutospacing="1"/>
    </w:pPr>
    <w:rPr>
      <w:rFonts w:ascii="Times New Roman" w:eastAsia="Times New Roman" w:hAnsi="Times New Roman" w:cs="Times New Roman"/>
    </w:rPr>
  </w:style>
  <w:style w:type="character" w:styleId="a4">
    <w:name w:val="annotation reference"/>
    <w:basedOn w:val="a0"/>
    <w:uiPriority w:val="99"/>
    <w:semiHidden/>
    <w:unhideWhenUsed/>
    <w:rsid w:val="00C925DD"/>
    <w:rPr>
      <w:sz w:val="16"/>
      <w:szCs w:val="16"/>
    </w:rPr>
  </w:style>
  <w:style w:type="paragraph" w:styleId="a5">
    <w:name w:val="annotation text"/>
    <w:basedOn w:val="a"/>
    <w:link w:val="a6"/>
    <w:uiPriority w:val="99"/>
    <w:semiHidden/>
    <w:unhideWhenUsed/>
    <w:rsid w:val="00C925DD"/>
    <w:rPr>
      <w:sz w:val="20"/>
      <w:szCs w:val="20"/>
    </w:rPr>
  </w:style>
  <w:style w:type="character" w:customStyle="1" w:styleId="a6">
    <w:name w:val="批注文字 字符"/>
    <w:basedOn w:val="a0"/>
    <w:link w:val="a5"/>
    <w:uiPriority w:val="99"/>
    <w:semiHidden/>
    <w:rsid w:val="00C925DD"/>
    <w:rPr>
      <w:sz w:val="20"/>
      <w:szCs w:val="20"/>
    </w:rPr>
  </w:style>
  <w:style w:type="paragraph" w:styleId="a7">
    <w:name w:val="annotation subject"/>
    <w:basedOn w:val="a5"/>
    <w:next w:val="a5"/>
    <w:link w:val="a8"/>
    <w:uiPriority w:val="99"/>
    <w:semiHidden/>
    <w:unhideWhenUsed/>
    <w:rsid w:val="00C925DD"/>
    <w:rPr>
      <w:b/>
      <w:bCs/>
    </w:rPr>
  </w:style>
  <w:style w:type="character" w:customStyle="1" w:styleId="a8">
    <w:name w:val="批注主题 字符"/>
    <w:basedOn w:val="a6"/>
    <w:link w:val="a7"/>
    <w:uiPriority w:val="99"/>
    <w:semiHidden/>
    <w:rsid w:val="00C925DD"/>
    <w:rPr>
      <w:b/>
      <w:bCs/>
      <w:sz w:val="20"/>
      <w:szCs w:val="20"/>
    </w:rPr>
  </w:style>
  <w:style w:type="paragraph" w:styleId="a9">
    <w:name w:val="header"/>
    <w:basedOn w:val="a"/>
    <w:link w:val="aa"/>
    <w:uiPriority w:val="99"/>
    <w:unhideWhenUsed/>
    <w:rsid w:val="00FE16BF"/>
    <w:pPr>
      <w:tabs>
        <w:tab w:val="center" w:pos="4680"/>
        <w:tab w:val="right" w:pos="9360"/>
      </w:tabs>
    </w:pPr>
  </w:style>
  <w:style w:type="character" w:customStyle="1" w:styleId="aa">
    <w:name w:val="页眉 字符"/>
    <w:basedOn w:val="a0"/>
    <w:link w:val="a9"/>
    <w:uiPriority w:val="99"/>
    <w:rsid w:val="00FE16BF"/>
  </w:style>
  <w:style w:type="paragraph" w:styleId="ab">
    <w:name w:val="footer"/>
    <w:basedOn w:val="a"/>
    <w:link w:val="ac"/>
    <w:uiPriority w:val="99"/>
    <w:unhideWhenUsed/>
    <w:rsid w:val="00FE16BF"/>
    <w:pPr>
      <w:tabs>
        <w:tab w:val="center" w:pos="4680"/>
        <w:tab w:val="right" w:pos="9360"/>
      </w:tabs>
    </w:pPr>
  </w:style>
  <w:style w:type="character" w:customStyle="1" w:styleId="ac">
    <w:name w:val="页脚 字符"/>
    <w:basedOn w:val="a0"/>
    <w:link w:val="ab"/>
    <w:uiPriority w:val="99"/>
    <w:rsid w:val="00FE16BF"/>
  </w:style>
  <w:style w:type="character" w:styleId="ad">
    <w:name w:val="line number"/>
    <w:basedOn w:val="a0"/>
    <w:uiPriority w:val="99"/>
    <w:semiHidden/>
    <w:unhideWhenUsed/>
    <w:rsid w:val="009C2D1B"/>
  </w:style>
  <w:style w:type="paragraph" w:styleId="ae">
    <w:name w:val="Bibliography"/>
    <w:basedOn w:val="a"/>
    <w:next w:val="a"/>
    <w:uiPriority w:val="37"/>
    <w:unhideWhenUsed/>
    <w:rsid w:val="00B55664"/>
    <w:pPr>
      <w:tabs>
        <w:tab w:val="left" w:pos="264"/>
      </w:tabs>
      <w:spacing w:after="240"/>
      <w:ind w:left="264" w:hanging="264"/>
    </w:pPr>
  </w:style>
  <w:style w:type="paragraph" w:styleId="af">
    <w:name w:val="List Paragraph"/>
    <w:basedOn w:val="a"/>
    <w:uiPriority w:val="34"/>
    <w:qFormat/>
    <w:rsid w:val="00E50AC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3</Pages>
  <Words>2811</Words>
  <Characters>16026</Characters>
  <Application>Microsoft Office Word</Application>
  <DocSecurity>0</DocSecurity>
  <Lines>133</Lines>
  <Paragraphs>37</Paragraphs>
  <ScaleCrop>false</ScaleCrop>
  <Company/>
  <LinksUpToDate>false</LinksUpToDate>
  <CharactersWithSpaces>18800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 Shaowen (NORTH WEST ANGLIA NHS FOUNDATION TRUST)</dc:creator>
  <cp:keywords/>
  <dc:description/>
  <cp:lastModifiedBy>Richard Liu</cp:lastModifiedBy>
  <cp:revision>26</cp:revision>
  <dcterms:created xsi:type="dcterms:W3CDTF">2024-08-06T15:01:00Z</dcterms:created>
  <dcterms:modified xsi:type="dcterms:W3CDTF">2024-08-12T16:15:00Z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zotero-version="6.0.27"&gt;&lt;session id="52GxcggQ"/&gt;&lt;style id="http://www.zotero.org/styles/vancouver" locale="en-US" hasBibliography="1" bibliographyStyleHasBeenSet="1"/&gt;&lt;prefs&gt;&lt;pref name="fieldType" value="Field"/&gt;&lt;/prefs&gt;&lt;/data&gt;</vt:lpwstr>
  </property>
</Properties>
</file>