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5B6A" w14:textId="77777777" w:rsidR="00C115BC" w:rsidRPr="00C115BC" w:rsidRDefault="00C115BC" w:rsidP="00C115BC">
      <w:pPr>
        <w:jc w:val="both"/>
        <w:rPr>
          <w:rFonts w:ascii="Times New Roman" w:hAnsi="Times New Roman" w:cs="Times New Roman"/>
        </w:rPr>
      </w:pPr>
    </w:p>
    <w:p w14:paraId="4D87EDA2" w14:textId="3BB0BB4D" w:rsidR="003F60F9" w:rsidRDefault="003F60F9" w:rsidP="006A7543">
      <w:pPr>
        <w:spacing w:after="0" w:line="360" w:lineRule="auto"/>
        <w:jc w:val="center"/>
      </w:pPr>
      <w:r>
        <w:rPr>
          <w:rFonts w:hint="eastAsia"/>
        </w:rPr>
        <w:object w:dxaOrig="8253" w:dyaOrig="4409" w14:anchorId="144E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8pt;height:220.2pt" o:ole="">
            <v:imagedata r:id="rId7" o:title=""/>
          </v:shape>
          <o:OLEObject Type="Embed" ProgID="ChemDraw.Document.6.0" ShapeID="_x0000_i1025" DrawAspect="Content" ObjectID="_1785183538" r:id="rId8"/>
        </w:object>
      </w:r>
    </w:p>
    <w:p w14:paraId="6CFC5036" w14:textId="2E3C55A5" w:rsidR="003F60F9" w:rsidRPr="003F60F9" w:rsidRDefault="003F60F9" w:rsidP="003F60F9">
      <w:pPr>
        <w:spacing w:after="0" w:line="360" w:lineRule="auto"/>
        <w:jc w:val="both"/>
        <w:rPr>
          <w:rFonts w:ascii="Times New Roman" w:hAnsi="Times New Roman" w:cs="Times New Roman"/>
          <w:sz w:val="24"/>
          <w:szCs w:val="24"/>
        </w:rPr>
      </w:pPr>
      <w:r w:rsidRPr="003F60F9">
        <w:rPr>
          <w:rFonts w:ascii="Times New Roman" w:hAnsi="Times New Roman" w:cs="Times New Roman"/>
          <w:b/>
          <w:bCs/>
          <w:sz w:val="24"/>
          <w:szCs w:val="24"/>
        </w:rPr>
        <w:t>Figure 1.</w:t>
      </w:r>
      <w:r w:rsidRPr="003F60F9">
        <w:rPr>
          <w:rFonts w:ascii="Times New Roman" w:hAnsi="Times New Roman" w:cs="Times New Roman"/>
          <w:sz w:val="24"/>
          <w:szCs w:val="24"/>
        </w:rPr>
        <w:t xml:space="preserve"> The structure of </w:t>
      </w:r>
      <w:r>
        <w:rPr>
          <w:rFonts w:ascii="Times New Roman" w:hAnsi="Times New Roman" w:cs="Times New Roman"/>
          <w:sz w:val="24"/>
          <w:szCs w:val="24"/>
        </w:rPr>
        <w:t>DL00</w:t>
      </w:r>
      <w:r w:rsidRPr="003F60F9">
        <w:rPr>
          <w:rFonts w:ascii="Times New Roman" w:hAnsi="Times New Roman" w:cs="Times New Roman"/>
          <w:sz w:val="24"/>
          <w:szCs w:val="24"/>
        </w:rPr>
        <w:t xml:space="preserve"> (precursor) and DL25 compound as sketched by Chemsketch and were used to find sdf file for this investigation (Chemistry of synthesis).</w:t>
      </w:r>
    </w:p>
    <w:p w14:paraId="060E4867" w14:textId="77777777" w:rsidR="003F60F9" w:rsidRDefault="003F60F9" w:rsidP="00FB22DD">
      <w:pPr>
        <w:spacing w:after="0" w:line="360" w:lineRule="auto"/>
        <w:jc w:val="both"/>
      </w:pPr>
    </w:p>
    <w:p w14:paraId="53AFFC37" w14:textId="5DA65329" w:rsidR="00C115BC" w:rsidRDefault="003F60F9" w:rsidP="00C115BC">
      <w:pPr>
        <w:spacing w:after="0" w:line="360" w:lineRule="auto"/>
        <w:jc w:val="both"/>
        <w:rPr>
          <w:rFonts w:ascii="Times New Roman" w:hAnsi="Times New Roman" w:cs="Times New Roman"/>
          <w:sz w:val="24"/>
          <w:szCs w:val="24"/>
        </w:rPr>
      </w:pPr>
      <w:r w:rsidRPr="003F60F9">
        <w:rPr>
          <w:rFonts w:ascii="Times New Roman" w:hAnsi="Times New Roman" w:cs="Times New Roman"/>
          <w:sz w:val="24"/>
          <w:szCs w:val="24"/>
        </w:rPr>
        <w:t>To a solution of desloratadine (500.0 mg, 1.61 mmol) in acetonitrile (20 mL), potassium carbonate (667.0 mg, 4.83 mmol) and 1,3-dibromopropane (81.6 μL, 804.31 μmol) were added. The reaction mixture was stirred under reflux for 6 h. After the completion of the reaction, the reaction mixture was cooled to room temperature, poured into a beaker containing crushed ice (5 g). The isolated precipitate was washed with water (several times) and air dried. The product DL25 was obtained as a pink white solid (632.0 mg, 59%)</w:t>
      </w:r>
      <w:bookmarkStart w:id="0" w:name="_Hlk168177106"/>
      <w:r w:rsidR="00C115BC">
        <w:rPr>
          <w:rFonts w:ascii="Times New Roman" w:hAnsi="Times New Roman" w:cs="Times New Roman"/>
          <w:sz w:val="24"/>
          <w:szCs w:val="24"/>
        </w:rPr>
        <w:t>.</w:t>
      </w:r>
      <w:bookmarkEnd w:id="0"/>
    </w:p>
    <w:p w14:paraId="50D129A1" w14:textId="3428E21C" w:rsidR="00727FCC" w:rsidRDefault="00727FCC" w:rsidP="00C115BC">
      <w:pPr>
        <w:spacing w:after="0" w:line="360" w:lineRule="auto"/>
        <w:jc w:val="both"/>
        <w:rPr>
          <w:rFonts w:ascii="Times New Roman" w:hAnsi="Times New Roman" w:cs="Times New Roman"/>
          <w:sz w:val="24"/>
          <w:szCs w:val="24"/>
        </w:rPr>
      </w:pPr>
    </w:p>
    <w:p w14:paraId="1F770FD6" w14:textId="77777777" w:rsidR="00727FCC" w:rsidRDefault="00727FCC" w:rsidP="00C115BC">
      <w:pPr>
        <w:spacing w:after="0" w:line="360" w:lineRule="auto"/>
        <w:jc w:val="both"/>
        <w:rPr>
          <w:rFonts w:ascii="Times New Roman" w:hAnsi="Times New Roman" w:cs="Times New Roman"/>
          <w:sz w:val="24"/>
          <w:szCs w:val="24"/>
        </w:rPr>
      </w:pPr>
    </w:p>
    <w:p w14:paraId="620C3690" w14:textId="57805BF2" w:rsidR="008D0105" w:rsidRPr="00271716" w:rsidRDefault="002A6474" w:rsidP="000F6365">
      <w:pPr>
        <w:spacing w:line="360" w:lineRule="auto"/>
        <w:jc w:val="both"/>
        <w:rPr>
          <w:rFonts w:ascii="Times New Roman" w:hAnsi="Times New Roman" w:cs="Times New Roman"/>
          <w:sz w:val="28"/>
          <w:szCs w:val="28"/>
        </w:rPr>
      </w:pPr>
      <w:r w:rsidRPr="00271716">
        <w:rPr>
          <w:rFonts w:ascii="Times New Roman" w:hAnsi="Times New Roman" w:cs="Times New Roman"/>
          <w:sz w:val="28"/>
          <w:szCs w:val="28"/>
        </w:rPr>
        <w:t>Materials and Methodology</w:t>
      </w:r>
    </w:p>
    <w:p w14:paraId="7ED635FC" w14:textId="0638DF70" w:rsidR="001F18DE" w:rsidRPr="00A86089" w:rsidRDefault="00A909B4" w:rsidP="00A909B4">
      <w:pPr>
        <w:spacing w:after="0" w:line="360" w:lineRule="auto"/>
        <w:jc w:val="both"/>
        <w:rPr>
          <w:rFonts w:ascii="Times New Roman" w:hAnsi="Times New Roman" w:cs="Times New Roman"/>
          <w:sz w:val="24"/>
          <w:szCs w:val="24"/>
        </w:rPr>
      </w:pPr>
      <w:r w:rsidRPr="00A86089">
        <w:rPr>
          <w:rFonts w:ascii="Times New Roman" w:hAnsi="Times New Roman" w:cs="Times New Roman"/>
          <w:sz w:val="24"/>
          <w:szCs w:val="24"/>
        </w:rPr>
        <w:t>Materials and Reagents</w:t>
      </w:r>
    </w:p>
    <w:p w14:paraId="75B2E027" w14:textId="129F464C" w:rsidR="001F18DE" w:rsidRDefault="00EC6355" w:rsidP="000F378B">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EC6355">
        <w:rPr>
          <w:rFonts w:ascii="Times New Roman" w:hAnsi="Times New Roman" w:cs="Times New Roman"/>
          <w:sz w:val="24"/>
          <w:szCs w:val="24"/>
        </w:rPr>
        <w:t>mbient air incubator</w:t>
      </w:r>
      <w:r>
        <w:rPr>
          <w:rFonts w:ascii="Times New Roman" w:hAnsi="Times New Roman" w:cs="Times New Roman"/>
          <w:sz w:val="24"/>
          <w:szCs w:val="24"/>
        </w:rPr>
        <w:t xml:space="preserve">, </w:t>
      </w:r>
      <w:r w:rsidR="00A909B4" w:rsidRPr="00715C80">
        <w:rPr>
          <w:rFonts w:ascii="Times New Roman" w:hAnsi="Times New Roman" w:cs="Times New Roman"/>
          <w:sz w:val="24"/>
          <w:szCs w:val="24"/>
        </w:rPr>
        <w:t>Middlebrook 7H9 broth base (Becton Dickinson and Company, Sparks, MD, USA), Middlebrook 7H10 agar base (Becton Dickinson and Company, Sparks, MD, USA), 85% Glycerol (EMSURE® Sigma-Aldrich), OADC Supplement (oleic acid, albumin, dextrose, catalase) (Becton Dickinson GmbH. Heidelberg/Germany),</w:t>
      </w:r>
      <w:r w:rsidR="00A909B4">
        <w:rPr>
          <w:rFonts w:ascii="Times New Roman" w:hAnsi="Times New Roman" w:cs="Times New Roman"/>
          <w:sz w:val="24"/>
          <w:szCs w:val="24"/>
        </w:rPr>
        <w:t xml:space="preserve"> </w:t>
      </w:r>
      <w:r w:rsidR="00A909B4" w:rsidRPr="00A909B4">
        <w:rPr>
          <w:rFonts w:ascii="Times New Roman" w:hAnsi="Times New Roman" w:cs="Times New Roman"/>
          <w:sz w:val="24"/>
          <w:szCs w:val="24"/>
        </w:rPr>
        <w:t>Falcon® 50 mL Conical Centrifuge Tubes</w:t>
      </w:r>
      <w:r w:rsidR="000F378B" w:rsidRPr="00ED6ACF">
        <w:rPr>
          <w:rFonts w:ascii="Times New Roman" w:hAnsi="Times New Roman" w:cs="Times New Roman"/>
          <w:sz w:val="24"/>
          <w:szCs w:val="24"/>
        </w:rPr>
        <w:t>,</w:t>
      </w:r>
      <w:r w:rsidR="00932488" w:rsidRPr="00932488">
        <w:rPr>
          <w:rFonts w:ascii="Times New Roman" w:hAnsi="Times New Roman" w:cs="Times New Roman"/>
          <w:sz w:val="24"/>
          <w:szCs w:val="24"/>
        </w:rPr>
        <w:t xml:space="preserve"> </w:t>
      </w:r>
      <w:r w:rsidR="00946D01" w:rsidRPr="00946D01">
        <w:rPr>
          <w:rFonts w:ascii="Times New Roman" w:hAnsi="Times New Roman" w:cs="Times New Roman"/>
          <w:sz w:val="24"/>
          <w:szCs w:val="24"/>
        </w:rPr>
        <w:t>Cell Counting Kit-8</w:t>
      </w:r>
      <w:r w:rsidR="00946D01" w:rsidRPr="003A1EA7">
        <w:rPr>
          <w:rFonts w:ascii="Times New Roman" w:hAnsi="Times New Roman" w:cs="Times New Roman"/>
          <w:sz w:val="24"/>
          <w:szCs w:val="24"/>
        </w:rPr>
        <w:t xml:space="preserve">, </w:t>
      </w:r>
      <w:r w:rsidR="00763D72" w:rsidRPr="003A1EA7">
        <w:rPr>
          <w:rFonts w:ascii="Times New Roman" w:hAnsi="Times New Roman" w:cs="Times New Roman"/>
          <w:sz w:val="24"/>
          <w:szCs w:val="24"/>
        </w:rPr>
        <w:t xml:space="preserve">pipettes, </w:t>
      </w:r>
      <w:r w:rsidR="00946D01" w:rsidRPr="003A1EA7">
        <w:rPr>
          <w:rFonts w:ascii="Times New Roman" w:hAnsi="Times New Roman" w:cs="Times New Roman"/>
          <w:sz w:val="24"/>
          <w:szCs w:val="24"/>
        </w:rPr>
        <w:t>CO</w:t>
      </w:r>
      <w:r w:rsidR="00946D01" w:rsidRPr="003A1EA7">
        <w:rPr>
          <w:rFonts w:ascii="Times New Roman" w:hAnsi="Times New Roman" w:cs="Times New Roman"/>
          <w:sz w:val="24"/>
          <w:szCs w:val="24"/>
          <w:vertAlign w:val="subscript"/>
        </w:rPr>
        <w:t>2</w:t>
      </w:r>
      <w:r w:rsidR="00946D01" w:rsidRPr="003A1EA7">
        <w:rPr>
          <w:rFonts w:ascii="Times New Roman" w:hAnsi="Times New Roman" w:cs="Times New Roman"/>
          <w:sz w:val="24"/>
          <w:szCs w:val="24"/>
        </w:rPr>
        <w:t xml:space="preserve"> incubator,</w:t>
      </w:r>
      <w:r w:rsidR="00A909B4" w:rsidRPr="003A1EA7">
        <w:t xml:space="preserve"> </w:t>
      </w:r>
      <w:r w:rsidR="00A909B4" w:rsidRPr="003A1EA7">
        <w:rPr>
          <w:rFonts w:ascii="Times New Roman" w:hAnsi="Times New Roman" w:cs="Times New Roman"/>
          <w:sz w:val="24"/>
          <w:szCs w:val="24"/>
        </w:rPr>
        <w:t>Pipette Filter tips (Axygen®), PIPETMAN Multichannel P8×200, 20–200μL (Gilson® PIPETMAN®),</w:t>
      </w:r>
      <w:r w:rsidR="00763D72" w:rsidRPr="003A1EA7">
        <w:rPr>
          <w:rFonts w:ascii="Times New Roman" w:hAnsi="Times New Roman" w:cs="Times New Roman"/>
          <w:sz w:val="24"/>
          <w:szCs w:val="24"/>
        </w:rPr>
        <w:t xml:space="preserve"> White 96 Well plate opaque</w:t>
      </w:r>
      <w:r w:rsidR="00A909B4" w:rsidRPr="003A1EA7">
        <w:rPr>
          <w:rFonts w:ascii="Times New Roman" w:hAnsi="Times New Roman" w:cs="Times New Roman"/>
          <w:sz w:val="24"/>
          <w:szCs w:val="24"/>
        </w:rPr>
        <w:t xml:space="preserve">, </w:t>
      </w:r>
      <w:r w:rsidR="00763D72" w:rsidRPr="003A1EA7">
        <w:rPr>
          <w:rFonts w:ascii="Times New Roman" w:hAnsi="Times New Roman" w:cs="Times New Roman"/>
          <w:sz w:val="24"/>
          <w:szCs w:val="24"/>
        </w:rPr>
        <w:t xml:space="preserve">8 um syringe filters, syringes 50 mL, Sterile tips, </w:t>
      </w:r>
      <w:r w:rsidR="00A909B4" w:rsidRPr="003A1EA7">
        <w:rPr>
          <w:rFonts w:ascii="Times New Roman" w:hAnsi="Times New Roman" w:cs="Times New Roman"/>
          <w:sz w:val="24"/>
          <w:szCs w:val="24"/>
        </w:rPr>
        <w:t>Microtubes 1.5 ml (Eppendorf®)</w:t>
      </w:r>
      <w:r w:rsidR="00ED6ACF" w:rsidRPr="003A1EA7">
        <w:rPr>
          <w:rFonts w:ascii="Times New Roman" w:hAnsi="Times New Roman" w:cs="Times New Roman"/>
          <w:sz w:val="24"/>
          <w:szCs w:val="24"/>
        </w:rPr>
        <w:t>,</w:t>
      </w:r>
      <w:r w:rsidR="000F378B" w:rsidRPr="003A1EA7">
        <w:rPr>
          <w:rFonts w:ascii="Times New Roman" w:hAnsi="Times New Roman" w:cs="Times New Roman"/>
          <w:sz w:val="24"/>
          <w:szCs w:val="24"/>
        </w:rPr>
        <w:t xml:space="preserve"> </w:t>
      </w:r>
      <w:r w:rsidR="00C21DF3" w:rsidRPr="003A1EA7">
        <w:rPr>
          <w:rFonts w:ascii="Times New Roman" w:hAnsi="Times New Roman" w:cs="Times New Roman"/>
          <w:sz w:val="24"/>
          <w:szCs w:val="24"/>
        </w:rPr>
        <w:t xml:space="preserve">Glomax 20/20 Luminometer, </w:t>
      </w:r>
      <w:r w:rsidR="00FC3529" w:rsidRPr="003A1EA7">
        <w:rPr>
          <w:rFonts w:ascii="Times New Roman" w:hAnsi="Times New Roman" w:cs="Times New Roman"/>
          <w:sz w:val="24"/>
          <w:szCs w:val="24"/>
        </w:rPr>
        <w:t xml:space="preserve">Perkin Elmer EnVision Microplate reader </w:t>
      </w:r>
      <w:r w:rsidR="001F18DE" w:rsidRPr="003A1EA7">
        <w:rPr>
          <w:rFonts w:ascii="Times New Roman" w:hAnsi="Times New Roman" w:cs="Times New Roman"/>
          <w:sz w:val="24"/>
          <w:szCs w:val="24"/>
        </w:rPr>
        <w:t xml:space="preserve">(Molecular Devices </w:t>
      </w:r>
      <w:r w:rsidR="001F18DE" w:rsidRPr="003A1EA7">
        <w:rPr>
          <w:rFonts w:ascii="Times New Roman" w:hAnsi="Times New Roman" w:cs="Times New Roman"/>
          <w:sz w:val="24"/>
          <w:szCs w:val="24"/>
        </w:rPr>
        <w:lastRenderedPageBreak/>
        <w:t xml:space="preserve">Corporation, 1311 Orleans Drive, Sunnyvale, California 94089). </w:t>
      </w:r>
      <w:r w:rsidR="00DB4F62" w:rsidRPr="003A1EA7">
        <w:rPr>
          <w:rFonts w:ascii="Times New Roman" w:hAnsi="Times New Roman" w:cs="Times New Roman"/>
          <w:i/>
          <w:iCs/>
          <w:sz w:val="24"/>
          <w:szCs w:val="24"/>
        </w:rPr>
        <w:t>MTB H37AlRa</w:t>
      </w:r>
      <w:r w:rsidR="00DB4F62" w:rsidRPr="003A1EA7">
        <w:rPr>
          <w:rFonts w:ascii="Times New Roman" w:hAnsi="Times New Roman" w:cs="Times New Roman"/>
          <w:sz w:val="24"/>
          <w:szCs w:val="24"/>
        </w:rPr>
        <w:t xml:space="preserve">, </w:t>
      </w:r>
      <w:r w:rsidR="00DB4F62" w:rsidRPr="003A1EA7">
        <w:rPr>
          <w:rFonts w:ascii="Times New Roman" w:hAnsi="Times New Roman" w:cs="Times New Roman"/>
          <w:i/>
          <w:iCs/>
          <w:sz w:val="24"/>
          <w:szCs w:val="24"/>
        </w:rPr>
        <w:t>H37AlMs</w:t>
      </w:r>
      <w:r w:rsidR="00DB4F62" w:rsidRPr="003A1EA7">
        <w:rPr>
          <w:rFonts w:ascii="Times New Roman" w:hAnsi="Times New Roman" w:cs="Times New Roman"/>
          <w:sz w:val="24"/>
          <w:szCs w:val="24"/>
        </w:rPr>
        <w:t xml:space="preserve">, </w:t>
      </w:r>
      <w:r w:rsidR="00DB4F62" w:rsidRPr="003A1EA7">
        <w:rPr>
          <w:rFonts w:ascii="Times New Roman" w:hAnsi="Times New Roman" w:cs="Times New Roman"/>
          <w:i/>
          <w:iCs/>
          <w:sz w:val="24"/>
          <w:szCs w:val="24"/>
        </w:rPr>
        <w:t>H37AlMab</w:t>
      </w:r>
      <w:r w:rsidR="00DB4F62" w:rsidRPr="003A1EA7">
        <w:rPr>
          <w:rFonts w:ascii="Times New Roman" w:hAnsi="Times New Roman" w:cs="Times New Roman"/>
          <w:sz w:val="24"/>
          <w:szCs w:val="24"/>
        </w:rPr>
        <w:t xml:space="preserve">, and </w:t>
      </w:r>
      <w:r w:rsidR="00DB4F62" w:rsidRPr="003A1EA7">
        <w:rPr>
          <w:rFonts w:ascii="Times New Roman" w:hAnsi="Times New Roman" w:cs="Times New Roman"/>
          <w:i/>
          <w:iCs/>
          <w:sz w:val="24"/>
          <w:szCs w:val="24"/>
        </w:rPr>
        <w:t>H37Al</w:t>
      </w:r>
      <w:r w:rsidR="00ED6ACF" w:rsidRPr="003A1EA7">
        <w:rPr>
          <w:rFonts w:ascii="Times New Roman" w:hAnsi="Times New Roman" w:cs="Times New Roman"/>
          <w:i/>
          <w:iCs/>
          <w:sz w:val="24"/>
          <w:szCs w:val="24"/>
        </w:rPr>
        <w:t>mm</w:t>
      </w:r>
      <w:r w:rsidR="00ED6ACF" w:rsidRPr="003A1EA7">
        <w:rPr>
          <w:rFonts w:ascii="Times New Roman" w:hAnsi="Times New Roman" w:cs="Times New Roman"/>
          <w:sz w:val="24"/>
          <w:szCs w:val="24"/>
        </w:rPr>
        <w:t xml:space="preserve"> </w:t>
      </w:r>
      <w:r w:rsidR="00DB4F62" w:rsidRPr="003A1EA7">
        <w:rPr>
          <w:rFonts w:ascii="Times New Roman" w:hAnsi="Times New Roman" w:cs="Times New Roman"/>
          <w:sz w:val="24"/>
          <w:szCs w:val="24"/>
        </w:rPr>
        <w:t>strain</w:t>
      </w:r>
      <w:r w:rsidR="00ED6ACF" w:rsidRPr="003A1EA7">
        <w:rPr>
          <w:rFonts w:ascii="Times New Roman" w:hAnsi="Times New Roman" w:cs="Times New Roman"/>
          <w:sz w:val="24"/>
          <w:szCs w:val="24"/>
        </w:rPr>
        <w:t>s</w:t>
      </w:r>
      <w:r w:rsidR="00DB4F62" w:rsidRPr="003A1EA7">
        <w:rPr>
          <w:rFonts w:ascii="Times New Roman" w:hAnsi="Times New Roman" w:cs="Times New Roman"/>
          <w:sz w:val="24"/>
          <w:szCs w:val="24"/>
        </w:rPr>
        <w:t xml:space="preserve"> maintained in our laboratory were used in th</w:t>
      </w:r>
      <w:r w:rsidR="0043580F" w:rsidRPr="003A1EA7">
        <w:rPr>
          <w:rFonts w:ascii="Times New Roman" w:hAnsi="Times New Roman" w:cs="Times New Roman"/>
          <w:sz w:val="24"/>
          <w:szCs w:val="24"/>
        </w:rPr>
        <w:t>is</w:t>
      </w:r>
      <w:r w:rsidR="00DB4F62" w:rsidRPr="003A1EA7">
        <w:rPr>
          <w:rFonts w:ascii="Times New Roman" w:hAnsi="Times New Roman" w:cs="Times New Roman"/>
          <w:sz w:val="24"/>
          <w:szCs w:val="24"/>
        </w:rPr>
        <w:t xml:space="preserve"> stud</w:t>
      </w:r>
      <w:r w:rsidR="0043580F" w:rsidRPr="003A1EA7">
        <w:rPr>
          <w:rFonts w:ascii="Times New Roman" w:hAnsi="Times New Roman" w:cs="Times New Roman"/>
          <w:sz w:val="24"/>
          <w:szCs w:val="24"/>
        </w:rPr>
        <w:t>y</w:t>
      </w:r>
      <w:r w:rsidR="00ED6ACF" w:rsidRPr="003A1EA7">
        <w:rPr>
          <w:rFonts w:ascii="Times New Roman" w:hAnsi="Times New Roman" w:cs="Times New Roman"/>
          <w:sz w:val="24"/>
          <w:szCs w:val="24"/>
        </w:rPr>
        <w:t xml:space="preserve">. DL25 compound was synthesized by </w:t>
      </w:r>
      <w:r w:rsidR="003F4696" w:rsidRPr="003A1EA7">
        <w:rPr>
          <w:rFonts w:ascii="Times New Roman" w:hAnsi="Times New Roman" w:cs="Times New Roman"/>
          <w:sz w:val="24"/>
          <w:szCs w:val="24"/>
        </w:rPr>
        <w:t xml:space="preserve">Guangzhou institute of Biomedical </w:t>
      </w:r>
      <w:r w:rsidR="00A909B4" w:rsidRPr="003A1EA7">
        <w:rPr>
          <w:rFonts w:ascii="Times New Roman" w:hAnsi="Times New Roman" w:cs="Times New Roman"/>
          <w:sz w:val="24"/>
          <w:szCs w:val="24"/>
        </w:rPr>
        <w:t xml:space="preserve">and Health </w:t>
      </w:r>
      <w:r w:rsidR="003F4696" w:rsidRPr="003A1EA7">
        <w:rPr>
          <w:rFonts w:ascii="Times New Roman" w:hAnsi="Times New Roman" w:cs="Times New Roman"/>
          <w:sz w:val="24"/>
          <w:szCs w:val="24"/>
        </w:rPr>
        <w:t>(Guangzhou, China), Chemistry Laboratory</w:t>
      </w:r>
      <w:r w:rsidR="00ED6ACF" w:rsidRPr="003A1EA7">
        <w:rPr>
          <w:rFonts w:ascii="Times New Roman" w:hAnsi="Times New Roman" w:cs="Times New Roman"/>
          <w:sz w:val="24"/>
          <w:szCs w:val="24"/>
        </w:rPr>
        <w:t xml:space="preserve">. </w:t>
      </w:r>
      <w:r w:rsidR="000A7317" w:rsidRPr="003A1EA7">
        <w:rPr>
          <w:rFonts w:ascii="Times New Roman" w:hAnsi="Times New Roman" w:cs="Times New Roman"/>
          <w:sz w:val="24"/>
          <w:szCs w:val="24"/>
        </w:rPr>
        <w:t>Eleven (11)</w:t>
      </w:r>
      <w:r w:rsidR="00ED6ACF" w:rsidRPr="003A1EA7">
        <w:rPr>
          <w:rFonts w:ascii="Times New Roman" w:hAnsi="Times New Roman" w:cs="Times New Roman"/>
          <w:sz w:val="24"/>
          <w:szCs w:val="24"/>
        </w:rPr>
        <w:t xml:space="preserve"> antibiotics were provided by Liu </w:t>
      </w:r>
      <w:r w:rsidR="00ED6ACF" w:rsidRPr="00ED6ACF">
        <w:rPr>
          <w:rFonts w:ascii="Times New Roman" w:hAnsi="Times New Roman" w:cs="Times New Roman"/>
          <w:sz w:val="24"/>
          <w:szCs w:val="24"/>
        </w:rPr>
        <w:t xml:space="preserve">(Guangzhou, China) for </w:t>
      </w:r>
      <w:r w:rsidR="0043580F">
        <w:rPr>
          <w:rFonts w:ascii="Times New Roman" w:hAnsi="Times New Roman" w:cs="Times New Roman"/>
          <w:sz w:val="24"/>
          <w:szCs w:val="24"/>
        </w:rPr>
        <w:t xml:space="preserve">the </w:t>
      </w:r>
      <w:r w:rsidR="00ED6ACF" w:rsidRPr="00ED6ACF">
        <w:rPr>
          <w:rFonts w:ascii="Times New Roman" w:hAnsi="Times New Roman" w:cs="Times New Roman"/>
          <w:sz w:val="24"/>
          <w:szCs w:val="24"/>
        </w:rPr>
        <w:t>experiment.</w:t>
      </w:r>
      <w:r w:rsidR="00E415BB">
        <w:rPr>
          <w:rFonts w:ascii="Times New Roman" w:hAnsi="Times New Roman" w:cs="Times New Roman"/>
          <w:sz w:val="24"/>
          <w:szCs w:val="24"/>
        </w:rPr>
        <w:t xml:space="preserve"> </w:t>
      </w:r>
    </w:p>
    <w:p w14:paraId="4DD21347" w14:textId="75F93648" w:rsidR="00C078EA" w:rsidRPr="00271716" w:rsidRDefault="008E0BFE" w:rsidP="000F6365">
      <w:pPr>
        <w:spacing w:line="360" w:lineRule="auto"/>
        <w:jc w:val="both"/>
        <w:rPr>
          <w:rFonts w:ascii="Times New Roman" w:hAnsi="Times New Roman" w:cs="Times New Roman"/>
          <w:sz w:val="28"/>
          <w:szCs w:val="28"/>
        </w:rPr>
      </w:pPr>
      <w:r>
        <w:rPr>
          <w:rFonts w:ascii="Times New Roman" w:hAnsi="Times New Roman" w:cs="Times New Roman"/>
          <w:sz w:val="28"/>
          <w:szCs w:val="28"/>
        </w:rPr>
        <w:t>Eleven</w:t>
      </w:r>
      <w:r w:rsidR="00F6603F" w:rsidRPr="00271716">
        <w:rPr>
          <w:rFonts w:ascii="Times New Roman" w:hAnsi="Times New Roman" w:cs="Times New Roman"/>
          <w:sz w:val="28"/>
          <w:szCs w:val="28"/>
        </w:rPr>
        <w:t xml:space="preserve"> commercial </w:t>
      </w:r>
      <w:r w:rsidR="00535E6E" w:rsidRPr="00271716">
        <w:rPr>
          <w:rFonts w:ascii="Times New Roman" w:hAnsi="Times New Roman" w:cs="Times New Roman"/>
          <w:sz w:val="28"/>
          <w:szCs w:val="28"/>
        </w:rPr>
        <w:t xml:space="preserve">Drugs and DL25 </w:t>
      </w:r>
      <w:r w:rsidR="00BD2CD8" w:rsidRPr="00271716">
        <w:rPr>
          <w:rFonts w:ascii="Times New Roman" w:hAnsi="Times New Roman" w:cs="Times New Roman"/>
          <w:sz w:val="28"/>
          <w:szCs w:val="28"/>
        </w:rPr>
        <w:t xml:space="preserve">Compound </w:t>
      </w:r>
      <w:r w:rsidR="00535E6E" w:rsidRPr="00271716">
        <w:rPr>
          <w:rFonts w:ascii="Times New Roman" w:hAnsi="Times New Roman" w:cs="Times New Roman"/>
          <w:sz w:val="28"/>
          <w:szCs w:val="28"/>
        </w:rPr>
        <w:t>preparation</w:t>
      </w:r>
    </w:p>
    <w:p w14:paraId="4EF64F31" w14:textId="7398A707" w:rsidR="00BD0251" w:rsidRDefault="000E28C0" w:rsidP="009F5B61">
      <w:pPr>
        <w:spacing w:line="360" w:lineRule="auto"/>
        <w:jc w:val="both"/>
        <w:rPr>
          <w:rFonts w:ascii="Times New Roman" w:hAnsi="Times New Roman" w:cs="Times New Roman"/>
          <w:sz w:val="24"/>
          <w:szCs w:val="24"/>
        </w:rPr>
      </w:pPr>
      <w:r w:rsidRPr="000E28C0">
        <w:rPr>
          <w:rFonts w:ascii="Times New Roman" w:hAnsi="Times New Roman" w:cs="Times New Roman"/>
          <w:sz w:val="24"/>
          <w:szCs w:val="24"/>
        </w:rPr>
        <w:t xml:space="preserve">The following antimicrobial agents were prepared: </w:t>
      </w:r>
      <w:r w:rsidR="00A4461E" w:rsidRPr="000E28C0">
        <w:rPr>
          <w:rFonts w:ascii="Times New Roman" w:hAnsi="Times New Roman" w:cs="Times New Roman"/>
          <w:sz w:val="24"/>
          <w:szCs w:val="24"/>
        </w:rPr>
        <w:t>Vancomycin (Van)</w:t>
      </w:r>
      <w:r w:rsidR="00A4461E">
        <w:rPr>
          <w:rFonts w:ascii="Times New Roman" w:hAnsi="Times New Roman" w:cs="Times New Roman"/>
          <w:sz w:val="24"/>
          <w:szCs w:val="24"/>
        </w:rPr>
        <w:t xml:space="preserve">, </w:t>
      </w:r>
      <w:r w:rsidR="00A4461E" w:rsidRPr="000E28C0">
        <w:rPr>
          <w:rFonts w:ascii="Times New Roman" w:hAnsi="Times New Roman" w:cs="Times New Roman"/>
          <w:sz w:val="24"/>
          <w:szCs w:val="24"/>
        </w:rPr>
        <w:t>Rifa</w:t>
      </w:r>
      <w:r w:rsidR="00A4461E">
        <w:rPr>
          <w:rFonts w:ascii="Times New Roman" w:hAnsi="Times New Roman" w:cs="Times New Roman"/>
          <w:sz w:val="24"/>
          <w:szCs w:val="24"/>
        </w:rPr>
        <w:t>mpicin</w:t>
      </w:r>
      <w:r w:rsidR="00A4461E" w:rsidRPr="000E28C0">
        <w:rPr>
          <w:rFonts w:ascii="Times New Roman" w:hAnsi="Times New Roman" w:cs="Times New Roman"/>
          <w:sz w:val="24"/>
          <w:szCs w:val="24"/>
        </w:rPr>
        <w:t xml:space="preserve"> (R</w:t>
      </w:r>
      <w:r w:rsidR="00A4461E">
        <w:rPr>
          <w:rFonts w:ascii="Times New Roman" w:hAnsi="Times New Roman" w:cs="Times New Roman"/>
          <w:sz w:val="24"/>
          <w:szCs w:val="24"/>
        </w:rPr>
        <w:t>I</w:t>
      </w:r>
      <w:r w:rsidR="00A4461E" w:rsidRPr="000E28C0">
        <w:rPr>
          <w:rFonts w:ascii="Times New Roman" w:hAnsi="Times New Roman" w:cs="Times New Roman"/>
          <w:sz w:val="24"/>
          <w:szCs w:val="24"/>
        </w:rPr>
        <w:t>F)</w:t>
      </w:r>
      <w:r w:rsidR="00A4461E">
        <w:rPr>
          <w:rFonts w:ascii="Times New Roman" w:hAnsi="Times New Roman" w:cs="Times New Roman"/>
          <w:sz w:val="24"/>
          <w:szCs w:val="24"/>
        </w:rPr>
        <w:t xml:space="preserve">, </w:t>
      </w:r>
      <w:r w:rsidR="00A4461E" w:rsidRPr="000E28C0">
        <w:rPr>
          <w:rFonts w:ascii="Times New Roman" w:hAnsi="Times New Roman" w:cs="Times New Roman"/>
          <w:sz w:val="24"/>
          <w:szCs w:val="24"/>
        </w:rPr>
        <w:t>Ethambutol (EMB)</w:t>
      </w:r>
      <w:r w:rsidR="00A4461E">
        <w:rPr>
          <w:rFonts w:ascii="Times New Roman" w:hAnsi="Times New Roman" w:cs="Times New Roman"/>
          <w:sz w:val="24"/>
          <w:szCs w:val="24"/>
        </w:rPr>
        <w:t xml:space="preserve">, </w:t>
      </w:r>
      <w:r w:rsidR="00A4461E" w:rsidRPr="000E28C0">
        <w:rPr>
          <w:rFonts w:ascii="Times New Roman" w:hAnsi="Times New Roman" w:cs="Times New Roman"/>
          <w:sz w:val="24"/>
          <w:szCs w:val="24"/>
        </w:rPr>
        <w:t>Amikacin (Amk),</w:t>
      </w:r>
      <w:r w:rsidR="00A4461E" w:rsidRPr="00A4461E">
        <w:rPr>
          <w:rFonts w:ascii="Times New Roman" w:hAnsi="Times New Roman" w:cs="Times New Roman"/>
          <w:sz w:val="24"/>
          <w:szCs w:val="24"/>
        </w:rPr>
        <w:t xml:space="preserve"> </w:t>
      </w:r>
      <w:r w:rsidR="00A4461E" w:rsidRPr="000E28C0">
        <w:rPr>
          <w:rFonts w:ascii="Times New Roman" w:hAnsi="Times New Roman" w:cs="Times New Roman"/>
          <w:sz w:val="24"/>
          <w:szCs w:val="24"/>
        </w:rPr>
        <w:t>Levofloxacin (L</w:t>
      </w:r>
      <w:r w:rsidR="00A4461E">
        <w:rPr>
          <w:rFonts w:ascii="Times New Roman" w:hAnsi="Times New Roman" w:cs="Times New Roman"/>
          <w:sz w:val="24"/>
          <w:szCs w:val="24"/>
        </w:rPr>
        <w:t>V</w:t>
      </w:r>
      <w:r w:rsidR="00A4461E" w:rsidRPr="000E28C0">
        <w:rPr>
          <w:rFonts w:ascii="Times New Roman" w:hAnsi="Times New Roman" w:cs="Times New Roman"/>
          <w:sz w:val="24"/>
          <w:szCs w:val="24"/>
        </w:rPr>
        <w:t>F)</w:t>
      </w:r>
      <w:r w:rsidR="00A4461E">
        <w:rPr>
          <w:rFonts w:ascii="Times New Roman" w:hAnsi="Times New Roman" w:cs="Times New Roman"/>
          <w:sz w:val="24"/>
          <w:szCs w:val="24"/>
        </w:rPr>
        <w:t>,</w:t>
      </w:r>
      <w:r w:rsidR="00A4461E" w:rsidRPr="00A4461E">
        <w:rPr>
          <w:rFonts w:ascii="Times New Roman" w:hAnsi="Times New Roman" w:cs="Times New Roman"/>
          <w:sz w:val="24"/>
          <w:szCs w:val="24"/>
        </w:rPr>
        <w:t xml:space="preserve"> </w:t>
      </w:r>
      <w:r w:rsidR="00A4461E" w:rsidRPr="000E28C0">
        <w:rPr>
          <w:rFonts w:ascii="Times New Roman" w:hAnsi="Times New Roman" w:cs="Times New Roman"/>
          <w:sz w:val="24"/>
          <w:szCs w:val="24"/>
        </w:rPr>
        <w:t>Linezolid (LZD), Bedaquiline (BDQ),</w:t>
      </w:r>
      <w:r w:rsidR="00A4461E" w:rsidRPr="00A4461E">
        <w:rPr>
          <w:rFonts w:ascii="Times New Roman" w:hAnsi="Times New Roman" w:cs="Times New Roman"/>
          <w:sz w:val="24"/>
          <w:szCs w:val="24"/>
        </w:rPr>
        <w:t xml:space="preserve"> </w:t>
      </w:r>
      <w:r w:rsidR="00A4461E" w:rsidRPr="000E28C0">
        <w:rPr>
          <w:rFonts w:ascii="Times New Roman" w:hAnsi="Times New Roman" w:cs="Times New Roman"/>
          <w:sz w:val="24"/>
          <w:szCs w:val="24"/>
        </w:rPr>
        <w:t>Para-aminosalicylic</w:t>
      </w:r>
      <w:r w:rsidR="00A4461E">
        <w:rPr>
          <w:rFonts w:ascii="Times New Roman" w:hAnsi="Times New Roman" w:cs="Times New Roman"/>
          <w:sz w:val="24"/>
          <w:szCs w:val="24"/>
        </w:rPr>
        <w:t xml:space="preserve"> A</w:t>
      </w:r>
      <w:r w:rsidR="00A4461E" w:rsidRPr="000E28C0">
        <w:rPr>
          <w:rFonts w:ascii="Times New Roman" w:hAnsi="Times New Roman" w:cs="Times New Roman"/>
          <w:sz w:val="24"/>
          <w:szCs w:val="24"/>
        </w:rPr>
        <w:t>cid (PAS),</w:t>
      </w:r>
      <w:r w:rsidR="00A4461E">
        <w:rPr>
          <w:rFonts w:ascii="Times New Roman" w:hAnsi="Times New Roman" w:cs="Times New Roman"/>
          <w:sz w:val="24"/>
          <w:szCs w:val="24"/>
        </w:rPr>
        <w:t xml:space="preserve"> </w:t>
      </w:r>
      <w:r w:rsidR="00A4461E" w:rsidRPr="000E28C0">
        <w:rPr>
          <w:rFonts w:ascii="Times New Roman" w:hAnsi="Times New Roman" w:cs="Times New Roman"/>
          <w:sz w:val="24"/>
          <w:szCs w:val="24"/>
        </w:rPr>
        <w:t>Isoniazid (INH),</w:t>
      </w:r>
      <w:r w:rsidR="00A4461E" w:rsidRPr="00A4461E">
        <w:rPr>
          <w:rFonts w:ascii="Times New Roman" w:hAnsi="Times New Roman" w:cs="Times New Roman"/>
          <w:sz w:val="24"/>
          <w:szCs w:val="24"/>
        </w:rPr>
        <w:t xml:space="preserve"> </w:t>
      </w:r>
      <w:r w:rsidR="00A4461E" w:rsidRPr="000E28C0">
        <w:rPr>
          <w:rFonts w:ascii="Times New Roman" w:hAnsi="Times New Roman" w:cs="Times New Roman"/>
          <w:sz w:val="24"/>
          <w:szCs w:val="24"/>
        </w:rPr>
        <w:t>Ethionamide (ETH),</w:t>
      </w:r>
      <w:r w:rsidR="00A4461E">
        <w:rPr>
          <w:rFonts w:ascii="Times New Roman" w:hAnsi="Times New Roman" w:cs="Times New Roman"/>
          <w:sz w:val="24"/>
          <w:szCs w:val="24"/>
        </w:rPr>
        <w:t xml:space="preserve"> </w:t>
      </w:r>
      <w:r w:rsidR="00A4461E" w:rsidRPr="000E28C0">
        <w:rPr>
          <w:rFonts w:ascii="Times New Roman" w:hAnsi="Times New Roman" w:cs="Times New Roman"/>
          <w:sz w:val="24"/>
          <w:szCs w:val="24"/>
        </w:rPr>
        <w:t>Chloramphenicol (Cla),</w:t>
      </w:r>
      <w:r w:rsidRPr="000E28C0">
        <w:rPr>
          <w:rFonts w:ascii="Times New Roman" w:hAnsi="Times New Roman" w:cs="Times New Roman"/>
          <w:sz w:val="24"/>
          <w:szCs w:val="24"/>
        </w:rPr>
        <w:t xml:space="preserve"> and DL25 compound. Initial stock solutions of both DL25 compound and </w:t>
      </w:r>
      <w:r w:rsidR="00A4461E">
        <w:rPr>
          <w:rFonts w:ascii="Times New Roman" w:hAnsi="Times New Roman" w:cs="Times New Roman"/>
          <w:sz w:val="24"/>
          <w:szCs w:val="24"/>
        </w:rPr>
        <w:t>e</w:t>
      </w:r>
      <w:r w:rsidRPr="000E28C0">
        <w:rPr>
          <w:rFonts w:ascii="Times New Roman" w:hAnsi="Times New Roman" w:cs="Times New Roman"/>
          <w:sz w:val="24"/>
          <w:szCs w:val="24"/>
        </w:rPr>
        <w:t>leven (11) antibiotic agents were prepared based on their minimum inhibitory concentration (MIC) values. Subsequent dilutions were carried out in 10% oleic acid bovine albumin dextrose catalase (OADC)-enriched Middlebrook 7H9 broth (Difco Laboratories).</w:t>
      </w:r>
    </w:p>
    <w:p w14:paraId="5B775AD3" w14:textId="259B43E2" w:rsidR="00AE238F" w:rsidRPr="00271716" w:rsidRDefault="00940B6A" w:rsidP="00AE238F">
      <w:pPr>
        <w:spacing w:line="360" w:lineRule="auto"/>
        <w:jc w:val="both"/>
        <w:rPr>
          <w:rFonts w:ascii="Times New Roman" w:hAnsi="Times New Roman" w:cs="Times New Roman"/>
          <w:sz w:val="28"/>
          <w:szCs w:val="28"/>
        </w:rPr>
      </w:pPr>
      <w:r w:rsidRPr="00271716">
        <w:rPr>
          <w:rFonts w:ascii="Times New Roman" w:hAnsi="Times New Roman" w:cs="Times New Roman"/>
          <w:sz w:val="28"/>
          <w:szCs w:val="28"/>
        </w:rPr>
        <w:t>Checkerboard assay for studying synergy</w:t>
      </w:r>
    </w:p>
    <w:p w14:paraId="536A665A" w14:textId="587DBFF7" w:rsidR="00AA53C9" w:rsidRDefault="00AA53C9" w:rsidP="00AE238F">
      <w:pPr>
        <w:spacing w:line="360" w:lineRule="auto"/>
        <w:jc w:val="both"/>
        <w:rPr>
          <w:rFonts w:ascii="Times New Roman" w:hAnsi="Times New Roman" w:cs="Times New Roman"/>
          <w:sz w:val="24"/>
          <w:szCs w:val="24"/>
        </w:rPr>
      </w:pPr>
      <w:r w:rsidRPr="00AA53C9">
        <w:rPr>
          <w:rFonts w:ascii="Times New Roman" w:hAnsi="Times New Roman" w:cs="Times New Roman"/>
          <w:sz w:val="24"/>
          <w:szCs w:val="24"/>
        </w:rPr>
        <w:t xml:space="preserve">Combinations of DL25 compound and eleven commercially available antibiotics were tested against bacterial stocks of H37ra from exponential-phase cultures using the checkerboard technique by dispensing DL25 compound in the X-axis and antibiotics in the Y-axis of the 96-well microdilution tray, except for the first well on the left, in the order from low concentration to high concentration. 198µl of inoculum was added to 96-well microtiter plates containing a serial, two-fold diluted DL25 compound and antibiotic. The synergy of the combination (DL25 with antibiotics) was tested at MIC, </w:t>
      </w:r>
      <w:r w:rsidR="00B05DE1">
        <w:rPr>
          <w:rFonts w:ascii="Times New Roman" w:hAnsi="Times New Roman" w:cs="Times New Roman"/>
          <w:sz w:val="24"/>
          <w:szCs w:val="24"/>
        </w:rPr>
        <w:t>1</w:t>
      </w:r>
      <w:r w:rsidRPr="00AA53C9">
        <w:rPr>
          <w:rFonts w:ascii="Times New Roman" w:hAnsi="Times New Roman" w:cs="Times New Roman"/>
          <w:sz w:val="24"/>
          <w:szCs w:val="24"/>
        </w:rPr>
        <w:t xml:space="preserve">*MIC, </w:t>
      </w:r>
      <w:r w:rsidR="00B05DE1">
        <w:rPr>
          <w:rFonts w:ascii="Times New Roman" w:hAnsi="Times New Roman" w:cs="Times New Roman"/>
          <w:sz w:val="24"/>
          <w:szCs w:val="24"/>
        </w:rPr>
        <w:t>2</w:t>
      </w:r>
      <w:r w:rsidRPr="00AA53C9">
        <w:rPr>
          <w:rFonts w:ascii="Times New Roman" w:hAnsi="Times New Roman" w:cs="Times New Roman"/>
          <w:sz w:val="24"/>
          <w:szCs w:val="24"/>
        </w:rPr>
        <w:t xml:space="preserve">*MIC, </w:t>
      </w:r>
      <w:r w:rsidR="00B05DE1">
        <w:rPr>
          <w:rFonts w:ascii="Times New Roman" w:hAnsi="Times New Roman" w:cs="Times New Roman"/>
          <w:sz w:val="24"/>
          <w:szCs w:val="24"/>
        </w:rPr>
        <w:t>4</w:t>
      </w:r>
      <w:r w:rsidRPr="00AA53C9">
        <w:rPr>
          <w:rFonts w:ascii="Times New Roman" w:hAnsi="Times New Roman" w:cs="Times New Roman"/>
          <w:sz w:val="24"/>
          <w:szCs w:val="24"/>
        </w:rPr>
        <w:t xml:space="preserve">*MIC, </w:t>
      </w:r>
      <w:r w:rsidR="00B05DE1">
        <w:rPr>
          <w:rFonts w:ascii="Times New Roman" w:hAnsi="Times New Roman" w:cs="Times New Roman"/>
          <w:sz w:val="24"/>
          <w:szCs w:val="24"/>
        </w:rPr>
        <w:t>8</w:t>
      </w:r>
      <w:r w:rsidRPr="00AA53C9">
        <w:rPr>
          <w:rFonts w:ascii="Times New Roman" w:hAnsi="Times New Roman" w:cs="Times New Roman"/>
          <w:sz w:val="24"/>
          <w:szCs w:val="24"/>
        </w:rPr>
        <w:t xml:space="preserve">*MIC, and </w:t>
      </w:r>
      <w:r w:rsidR="00B05DE1">
        <w:rPr>
          <w:rFonts w:ascii="Times New Roman" w:hAnsi="Times New Roman" w:cs="Times New Roman"/>
          <w:sz w:val="24"/>
          <w:szCs w:val="24"/>
        </w:rPr>
        <w:t>16</w:t>
      </w:r>
      <w:r w:rsidRPr="00AA53C9">
        <w:rPr>
          <w:rFonts w:ascii="Times New Roman" w:hAnsi="Times New Roman" w:cs="Times New Roman"/>
          <w:sz w:val="24"/>
          <w:szCs w:val="24"/>
        </w:rPr>
        <w:t>*MIC. The concentration ranges were determined using previously obtained MIC values for the DL25 compound and antibiotics. Each combination was tested in triplicate. In all cases, the MIC endpoints were defined as the lowest DL25 compound concentration alone or in combination, resulting in &lt;10% growth compared to the growth control. The results were evaluated by calculating fractional inhibitory concentration indexes (FICIs) and evaluating antibacterial interactions as follows: First, FICs for antimicrobial A or B were determined as follows:</w:t>
      </w:r>
    </w:p>
    <w:p w14:paraId="15EF73E1" w14:textId="765C7110" w:rsidR="00F60848" w:rsidRPr="003E69CB" w:rsidRDefault="00F60848" w:rsidP="00AE238F">
      <w:pPr>
        <w:spacing w:line="360" w:lineRule="auto"/>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FICI</m:t>
          </m:r>
          <m:r>
            <w:rPr>
              <w:rFonts w:ascii="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MICA</m:t>
                      </m:r>
                    </m:den>
                  </m:f>
                  <m:r>
                    <w:rPr>
                      <w:rFonts w:ascii="Cambria Math" w:eastAsia="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B</m:t>
                      </m:r>
                    </m:num>
                    <m:den>
                      <m:r>
                        <m:rPr>
                          <m:sty m:val="p"/>
                        </m:rPr>
                        <w:rPr>
                          <w:rFonts w:ascii="Cambria Math" w:hAnsi="Cambria Math" w:cs="Times New Roman"/>
                          <w:sz w:val="24"/>
                          <w:szCs w:val="24"/>
                        </w:rPr>
                        <m:t>MIC</m:t>
                      </m:r>
                      <m:r>
                        <m:rPr>
                          <m:sty m:val="p"/>
                        </m:rPr>
                        <w:rPr>
                          <w:rFonts w:ascii="Cambria Math" w:hAnsi="Cambria Math" w:cs="Times New Roman"/>
                          <w:sz w:val="24"/>
                          <w:szCs w:val="24"/>
                          <w:vertAlign w:val="subscript"/>
                        </w:rPr>
                        <m:t>B</m:t>
                      </m:r>
                    </m:den>
                  </m:f>
                </m:e>
              </m:d>
            </m:e>
          </m:nary>
        </m:oMath>
      </m:oMathPara>
    </w:p>
    <w:p w14:paraId="44808E29" w14:textId="424CA04B" w:rsidR="00146B8B" w:rsidRPr="00C115BC" w:rsidRDefault="003E69CB" w:rsidP="000F6365">
      <w:pPr>
        <w:spacing w:line="360" w:lineRule="auto"/>
        <w:jc w:val="both"/>
        <w:rPr>
          <w:rFonts w:ascii="Times New Roman" w:hAnsi="Times New Roman" w:cs="Times New Roman"/>
          <w:sz w:val="24"/>
          <w:szCs w:val="24"/>
        </w:rPr>
      </w:pPr>
      <w:r w:rsidRPr="003E69CB">
        <w:rPr>
          <w:rFonts w:ascii="Times New Roman" w:hAnsi="Times New Roman" w:cs="Times New Roman"/>
          <w:sz w:val="24"/>
          <w:szCs w:val="24"/>
        </w:rPr>
        <w:lastRenderedPageBreak/>
        <w:t xml:space="preserve">where A and B are the MICs of each antibiotic when combined </w:t>
      </w:r>
      <w:r w:rsidR="009853DA">
        <w:rPr>
          <w:rFonts w:ascii="Times New Roman" w:hAnsi="Times New Roman" w:cs="Times New Roman"/>
          <w:sz w:val="24"/>
          <w:szCs w:val="24"/>
        </w:rPr>
        <w:t xml:space="preserve">with </w:t>
      </w:r>
      <w:r w:rsidR="00B05DE1">
        <w:rPr>
          <w:rFonts w:ascii="Times New Roman" w:hAnsi="Times New Roman" w:cs="Times New Roman"/>
          <w:sz w:val="24"/>
          <w:szCs w:val="24"/>
        </w:rPr>
        <w:t xml:space="preserve">the </w:t>
      </w:r>
      <w:r w:rsidR="009853DA">
        <w:rPr>
          <w:rFonts w:ascii="Times New Roman" w:hAnsi="Times New Roman" w:cs="Times New Roman"/>
          <w:sz w:val="24"/>
          <w:szCs w:val="24"/>
        </w:rPr>
        <w:t xml:space="preserve">DL25 compound </w:t>
      </w:r>
      <w:r w:rsidRPr="003E69CB">
        <w:rPr>
          <w:rFonts w:ascii="Times New Roman" w:hAnsi="Times New Roman" w:cs="Times New Roman"/>
          <w:sz w:val="24"/>
          <w:szCs w:val="24"/>
        </w:rPr>
        <w:t>(in a single well), and MICA and MIC</w:t>
      </w:r>
      <w:r w:rsidR="009853DA" w:rsidRPr="009853DA">
        <w:rPr>
          <w:rFonts w:ascii="Times New Roman" w:hAnsi="Times New Roman" w:cs="Times New Roman"/>
          <w:sz w:val="24"/>
          <w:szCs w:val="24"/>
          <w:vertAlign w:val="subscript"/>
        </w:rPr>
        <w:t>DL25</w:t>
      </w:r>
      <w:r w:rsidRPr="003E69CB">
        <w:rPr>
          <w:rFonts w:ascii="Times New Roman" w:hAnsi="Times New Roman" w:cs="Times New Roman"/>
          <w:sz w:val="24"/>
          <w:szCs w:val="24"/>
        </w:rPr>
        <w:t xml:space="preserve"> are the MICs of each </w:t>
      </w:r>
      <w:r w:rsidR="0005384C">
        <w:rPr>
          <w:rFonts w:ascii="Times New Roman" w:hAnsi="Times New Roman" w:cs="Times New Roman"/>
          <w:sz w:val="24"/>
          <w:szCs w:val="24"/>
        </w:rPr>
        <w:t>antibiotic</w:t>
      </w:r>
      <w:r w:rsidR="009853DA">
        <w:rPr>
          <w:rFonts w:ascii="Times New Roman" w:hAnsi="Times New Roman" w:cs="Times New Roman"/>
          <w:sz w:val="24"/>
          <w:szCs w:val="24"/>
        </w:rPr>
        <w:t xml:space="preserve"> and DL25 compound</w:t>
      </w:r>
      <w:r w:rsidRPr="003E69CB">
        <w:rPr>
          <w:rFonts w:ascii="Times New Roman" w:hAnsi="Times New Roman" w:cs="Times New Roman"/>
          <w:sz w:val="24"/>
          <w:szCs w:val="24"/>
        </w:rPr>
        <w:t xml:space="preserve"> separately. The antibacterial combination was termed synergistic when the FICI was ≤0.5, </w:t>
      </w:r>
      <w:r w:rsidR="00BB2314">
        <w:rPr>
          <w:rFonts w:ascii="Times New Roman" w:hAnsi="Times New Roman" w:cs="Times New Roman"/>
          <w:sz w:val="24"/>
          <w:szCs w:val="24"/>
        </w:rPr>
        <w:t xml:space="preserve">partially synergistic (0.5 </w:t>
      </w:r>
      <w:r w:rsidR="00BB2314" w:rsidRPr="003E69CB">
        <w:rPr>
          <w:rFonts w:ascii="Times New Roman" w:hAnsi="Times New Roman" w:cs="Times New Roman"/>
          <w:sz w:val="24"/>
          <w:szCs w:val="24"/>
        </w:rPr>
        <w:t>≤</w:t>
      </w:r>
      <w:r w:rsidR="00BB2314">
        <w:rPr>
          <w:rFonts w:ascii="Times New Roman" w:hAnsi="Times New Roman" w:cs="Times New Roman"/>
          <w:sz w:val="24"/>
          <w:szCs w:val="24"/>
        </w:rPr>
        <w:t xml:space="preserve"> FICI </w:t>
      </w:r>
      <w:r w:rsidR="00BB2314" w:rsidRPr="003E69CB">
        <w:rPr>
          <w:rFonts w:ascii="Times New Roman" w:hAnsi="Times New Roman" w:cs="Times New Roman"/>
          <w:sz w:val="24"/>
          <w:szCs w:val="24"/>
        </w:rPr>
        <w:t>≤</w:t>
      </w:r>
      <w:r w:rsidR="00BB2314">
        <w:rPr>
          <w:rFonts w:ascii="Times New Roman" w:hAnsi="Times New Roman" w:cs="Times New Roman"/>
          <w:sz w:val="24"/>
          <w:szCs w:val="24"/>
        </w:rPr>
        <w:t xml:space="preserve"> 1.0), additive </w:t>
      </w:r>
      <w:r w:rsidRPr="003E69CB">
        <w:rPr>
          <w:rFonts w:ascii="Times New Roman" w:hAnsi="Times New Roman" w:cs="Times New Roman"/>
          <w:sz w:val="24"/>
          <w:szCs w:val="24"/>
        </w:rPr>
        <w:t xml:space="preserve">when the FICI </w:t>
      </w:r>
      <w:r w:rsidR="00BB2314">
        <w:rPr>
          <w:rFonts w:ascii="Times New Roman" w:hAnsi="Times New Roman" w:cs="Times New Roman"/>
          <w:sz w:val="24"/>
          <w:szCs w:val="24"/>
        </w:rPr>
        <w:t>=</w:t>
      </w:r>
      <w:r w:rsidRPr="003E69CB">
        <w:rPr>
          <w:rFonts w:ascii="Times New Roman" w:hAnsi="Times New Roman" w:cs="Times New Roman"/>
          <w:sz w:val="24"/>
          <w:szCs w:val="24"/>
        </w:rPr>
        <w:t xml:space="preserve"> </w:t>
      </w:r>
      <w:r w:rsidR="00BB2314">
        <w:rPr>
          <w:rFonts w:ascii="Times New Roman" w:hAnsi="Times New Roman" w:cs="Times New Roman"/>
          <w:sz w:val="24"/>
          <w:szCs w:val="24"/>
        </w:rPr>
        <w:t>1.0</w:t>
      </w:r>
      <w:r w:rsidRPr="003E69CB">
        <w:rPr>
          <w:rFonts w:ascii="Times New Roman" w:hAnsi="Times New Roman" w:cs="Times New Roman"/>
          <w:sz w:val="24"/>
          <w:szCs w:val="24"/>
        </w:rPr>
        <w:t>,</w:t>
      </w:r>
      <w:r w:rsidR="00BB2314">
        <w:rPr>
          <w:rFonts w:ascii="Times New Roman" w:hAnsi="Times New Roman" w:cs="Times New Roman"/>
          <w:sz w:val="24"/>
          <w:szCs w:val="24"/>
        </w:rPr>
        <w:t xml:space="preserve"> </w:t>
      </w:r>
      <w:r w:rsidR="00BB2314" w:rsidRPr="003E69CB">
        <w:rPr>
          <w:rFonts w:ascii="Times New Roman" w:hAnsi="Times New Roman" w:cs="Times New Roman"/>
          <w:sz w:val="24"/>
          <w:szCs w:val="24"/>
        </w:rPr>
        <w:t>indifferent</w:t>
      </w:r>
      <w:r w:rsidR="00BB2314">
        <w:rPr>
          <w:rFonts w:ascii="Times New Roman" w:hAnsi="Times New Roman" w:cs="Times New Roman"/>
          <w:sz w:val="24"/>
          <w:szCs w:val="24"/>
        </w:rPr>
        <w:t xml:space="preserve"> (1.0 </w:t>
      </w:r>
      <w:r w:rsidR="00BB2314" w:rsidRPr="003E69CB">
        <w:rPr>
          <w:rFonts w:ascii="Times New Roman" w:hAnsi="Times New Roman" w:cs="Times New Roman"/>
          <w:sz w:val="24"/>
          <w:szCs w:val="24"/>
        </w:rPr>
        <w:t>≤</w:t>
      </w:r>
      <w:r w:rsidR="00BB2314">
        <w:rPr>
          <w:rFonts w:ascii="Times New Roman" w:hAnsi="Times New Roman" w:cs="Times New Roman"/>
          <w:sz w:val="24"/>
          <w:szCs w:val="24"/>
        </w:rPr>
        <w:t xml:space="preserve"> FICI </w:t>
      </w:r>
      <w:r w:rsidR="00BB2314" w:rsidRPr="003E69CB">
        <w:rPr>
          <w:rFonts w:ascii="Times New Roman" w:hAnsi="Times New Roman" w:cs="Times New Roman"/>
          <w:sz w:val="24"/>
          <w:szCs w:val="24"/>
        </w:rPr>
        <w:t>≤</w:t>
      </w:r>
      <w:r w:rsidR="00BB2314">
        <w:rPr>
          <w:rFonts w:ascii="Times New Roman" w:hAnsi="Times New Roman" w:cs="Times New Roman"/>
          <w:sz w:val="24"/>
          <w:szCs w:val="24"/>
        </w:rPr>
        <w:t xml:space="preserve"> 4.0),</w:t>
      </w:r>
      <w:r w:rsidRPr="003E69CB">
        <w:rPr>
          <w:rFonts w:ascii="Times New Roman" w:hAnsi="Times New Roman" w:cs="Times New Roman"/>
          <w:sz w:val="24"/>
          <w:szCs w:val="24"/>
        </w:rPr>
        <w:t xml:space="preserve"> </w:t>
      </w:r>
      <w:r w:rsidR="00BB2314">
        <w:rPr>
          <w:rFonts w:ascii="Times New Roman" w:hAnsi="Times New Roman" w:cs="Times New Roman"/>
          <w:sz w:val="24"/>
          <w:szCs w:val="24"/>
        </w:rPr>
        <w:t>or</w:t>
      </w:r>
      <w:r w:rsidRPr="003E69CB">
        <w:rPr>
          <w:rFonts w:ascii="Times New Roman" w:hAnsi="Times New Roman" w:cs="Times New Roman"/>
          <w:sz w:val="24"/>
          <w:szCs w:val="24"/>
        </w:rPr>
        <w:t xml:space="preserve"> antagonistic when the FICI was </w:t>
      </w:r>
      <w:r w:rsidR="00BB2314">
        <w:rPr>
          <w:rFonts w:ascii="Times New Roman" w:hAnsi="Times New Roman" w:cs="Times New Roman"/>
          <w:sz w:val="24"/>
          <w:szCs w:val="24"/>
        </w:rPr>
        <w:t>&gt;</w:t>
      </w:r>
      <w:r w:rsidR="009D7694">
        <w:rPr>
          <w:rFonts w:ascii="Times New Roman" w:hAnsi="Times New Roman" w:cs="Times New Roman"/>
          <w:sz w:val="24"/>
          <w:szCs w:val="24"/>
        </w:rPr>
        <w:t xml:space="preserve"> </w:t>
      </w:r>
      <w:r w:rsidRPr="003E69CB">
        <w:rPr>
          <w:rFonts w:ascii="Times New Roman" w:hAnsi="Times New Roman" w:cs="Times New Roman"/>
          <w:sz w:val="24"/>
          <w:szCs w:val="24"/>
        </w:rPr>
        <w:t xml:space="preserve">4. </w:t>
      </w:r>
    </w:p>
    <w:p w14:paraId="0BEF7ED7" w14:textId="7C6C6476" w:rsidR="003F5538" w:rsidRDefault="003F5538" w:rsidP="000F6365">
      <w:pPr>
        <w:spacing w:line="360" w:lineRule="auto"/>
        <w:jc w:val="both"/>
        <w:rPr>
          <w:rFonts w:ascii="Times New Roman" w:hAnsi="Times New Roman" w:cs="Times New Roman"/>
          <w:sz w:val="24"/>
          <w:szCs w:val="24"/>
        </w:rPr>
      </w:pPr>
      <w:r w:rsidRPr="00A86089">
        <w:rPr>
          <w:rFonts w:ascii="Times New Roman" w:hAnsi="Times New Roman" w:cs="Times New Roman"/>
          <w:sz w:val="24"/>
          <w:szCs w:val="24"/>
        </w:rPr>
        <w:t xml:space="preserve">Table </w:t>
      </w:r>
      <w:r w:rsidR="00C115BC" w:rsidRPr="00A86089">
        <w:rPr>
          <w:rFonts w:ascii="Times New Roman" w:hAnsi="Times New Roman" w:cs="Times New Roman"/>
          <w:sz w:val="24"/>
          <w:szCs w:val="24"/>
        </w:rPr>
        <w:t>1</w:t>
      </w:r>
      <w:r w:rsidRPr="00A86089">
        <w:rPr>
          <w:rFonts w:ascii="Times New Roman" w:hAnsi="Times New Roman" w:cs="Times New Roman"/>
          <w:sz w:val="24"/>
          <w:szCs w:val="24"/>
        </w:rPr>
        <w:t>.</w:t>
      </w:r>
      <w:r w:rsidRPr="006866A6">
        <w:rPr>
          <w:rFonts w:ascii="Times New Roman" w:hAnsi="Times New Roman" w:cs="Times New Roman"/>
          <w:sz w:val="24"/>
          <w:szCs w:val="24"/>
        </w:rPr>
        <w:t xml:space="preserve"> </w:t>
      </w:r>
      <w:r w:rsidR="00A41D1C" w:rsidRPr="00A41D1C">
        <w:rPr>
          <w:rFonts w:ascii="Times New Roman" w:hAnsi="Times New Roman" w:cs="Times New Roman"/>
          <w:sz w:val="24"/>
          <w:szCs w:val="24"/>
        </w:rPr>
        <w:t xml:space="preserve">MIC comparison of the DL25 compound with commercially available antibiotics against </w:t>
      </w:r>
      <w:r w:rsidR="00A41D1C" w:rsidRPr="00A41D1C">
        <w:rPr>
          <w:rFonts w:ascii="Times New Roman" w:hAnsi="Times New Roman" w:cs="Times New Roman"/>
          <w:i/>
          <w:iCs/>
          <w:sz w:val="24"/>
          <w:szCs w:val="24"/>
        </w:rPr>
        <w:t>M. tuberculosis H37Alra</w:t>
      </w:r>
      <w:r w:rsidR="00A41D1C" w:rsidRPr="00A41D1C">
        <w:rPr>
          <w:rFonts w:ascii="Times New Roman" w:hAnsi="Times New Roman" w:cs="Times New Roman"/>
          <w:sz w:val="24"/>
          <w:szCs w:val="24"/>
        </w:rPr>
        <w:t>.</w:t>
      </w:r>
    </w:p>
    <w:tbl>
      <w:tblPr>
        <w:tblStyle w:val="TableGrid"/>
        <w:tblW w:w="909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160"/>
        <w:gridCol w:w="990"/>
        <w:gridCol w:w="2700"/>
      </w:tblGrid>
      <w:tr w:rsidR="00A95B92" w14:paraId="6286E19A" w14:textId="1EAEB329" w:rsidTr="004173A9">
        <w:trPr>
          <w:trHeight w:val="339"/>
        </w:trPr>
        <w:tc>
          <w:tcPr>
            <w:tcW w:w="3240" w:type="dxa"/>
            <w:tcBorders>
              <w:top w:val="single" w:sz="12" w:space="0" w:color="auto"/>
              <w:bottom w:val="single" w:sz="12" w:space="0" w:color="auto"/>
            </w:tcBorders>
          </w:tcPr>
          <w:p w14:paraId="390F640C" w14:textId="1063FF34" w:rsidR="00A95B92" w:rsidRPr="00D661E8" w:rsidRDefault="00A95B92" w:rsidP="00A95B92">
            <w:pPr>
              <w:spacing w:line="360" w:lineRule="auto"/>
              <w:rPr>
                <w:rFonts w:ascii="Times New Roman" w:hAnsi="Times New Roman" w:cs="Times New Roman"/>
                <w:b/>
                <w:bCs/>
              </w:rPr>
            </w:pPr>
            <w:r w:rsidRPr="00D661E8">
              <w:rPr>
                <w:rFonts w:ascii="Times New Roman" w:hAnsi="Times New Roman" w:cs="Times New Roman"/>
                <w:b/>
                <w:bCs/>
              </w:rPr>
              <w:t>Antimicrobial agent</w:t>
            </w:r>
          </w:p>
        </w:tc>
        <w:tc>
          <w:tcPr>
            <w:tcW w:w="3150" w:type="dxa"/>
            <w:gridSpan w:val="2"/>
            <w:tcBorders>
              <w:top w:val="single" w:sz="12" w:space="0" w:color="auto"/>
              <w:bottom w:val="single" w:sz="12" w:space="0" w:color="auto"/>
            </w:tcBorders>
          </w:tcPr>
          <w:p w14:paraId="59E187A3" w14:textId="48ED4C5E" w:rsidR="00A95B92" w:rsidRPr="00D661E8" w:rsidRDefault="00A95B92" w:rsidP="00A95B92">
            <w:pPr>
              <w:spacing w:line="360" w:lineRule="auto"/>
              <w:rPr>
                <w:rFonts w:ascii="Times New Roman" w:hAnsi="Times New Roman" w:cs="Times New Roman"/>
                <w:b/>
                <w:bCs/>
              </w:rPr>
            </w:pPr>
            <w:r>
              <w:rPr>
                <w:rFonts w:ascii="Times New Roman" w:hAnsi="Times New Roman" w:cs="Times New Roman"/>
                <w:b/>
                <w:bCs/>
              </w:rPr>
              <w:t xml:space="preserve"> </w:t>
            </w:r>
            <w:r w:rsidRPr="00D661E8">
              <w:rPr>
                <w:rFonts w:ascii="Times New Roman" w:hAnsi="Times New Roman" w:cs="Times New Roman"/>
                <w:b/>
                <w:bCs/>
              </w:rPr>
              <w:t>MIC</w:t>
            </w:r>
            <w:r w:rsidR="004173A9">
              <w:rPr>
                <w:rFonts w:ascii="Times New Roman" w:hAnsi="Times New Roman" w:cs="Times New Roman"/>
                <w:b/>
                <w:bCs/>
              </w:rPr>
              <w:t xml:space="preserve"> </w:t>
            </w:r>
            <w:r w:rsidRPr="00D661E8">
              <w:rPr>
                <w:rFonts w:ascii="Times New Roman" w:hAnsi="Times New Roman" w:cs="Times New Roman"/>
                <w:b/>
                <w:bCs/>
              </w:rPr>
              <w:t>(μg/ml)</w:t>
            </w:r>
          </w:p>
        </w:tc>
        <w:tc>
          <w:tcPr>
            <w:tcW w:w="2700" w:type="dxa"/>
            <w:tcBorders>
              <w:top w:val="single" w:sz="12" w:space="0" w:color="auto"/>
            </w:tcBorders>
          </w:tcPr>
          <w:p w14:paraId="2F1BFD3B" w14:textId="09BD95F3" w:rsidR="00A95B92" w:rsidRPr="00D661E8" w:rsidRDefault="00A95B92" w:rsidP="00A95B92">
            <w:pPr>
              <w:spacing w:line="360" w:lineRule="auto"/>
              <w:jc w:val="center"/>
              <w:rPr>
                <w:rFonts w:ascii="Times New Roman" w:hAnsi="Times New Roman" w:cs="Times New Roman"/>
                <w:b/>
                <w:bCs/>
              </w:rPr>
            </w:pPr>
            <w:r>
              <w:rPr>
                <w:rFonts w:ascii="Times New Roman" w:hAnsi="Times New Roman" w:cs="Times New Roman"/>
                <w:b/>
                <w:bCs/>
              </w:rPr>
              <w:t>Mode of action/ Target</w:t>
            </w:r>
          </w:p>
        </w:tc>
      </w:tr>
      <w:tr w:rsidR="00A95B92" w14:paraId="2EC2FF3B" w14:textId="5FCE8DA5" w:rsidTr="004173A9">
        <w:tc>
          <w:tcPr>
            <w:tcW w:w="3240" w:type="dxa"/>
            <w:tcBorders>
              <w:top w:val="single" w:sz="12" w:space="0" w:color="auto"/>
            </w:tcBorders>
          </w:tcPr>
          <w:p w14:paraId="6B89BE57" w14:textId="7A04D424" w:rsidR="00A95B92" w:rsidRDefault="00A95B92" w:rsidP="000F6365">
            <w:pPr>
              <w:spacing w:line="360" w:lineRule="auto"/>
              <w:jc w:val="both"/>
              <w:rPr>
                <w:rFonts w:ascii="Times New Roman" w:hAnsi="Times New Roman" w:cs="Times New Roman"/>
                <w:sz w:val="24"/>
                <w:szCs w:val="24"/>
              </w:rPr>
            </w:pPr>
            <w:r>
              <w:rPr>
                <w:rFonts w:ascii="Times New Roman" w:hAnsi="Times New Roman" w:cs="Times New Roman"/>
                <w:sz w:val="24"/>
                <w:szCs w:val="24"/>
              </w:rPr>
              <w:t>DL25</w:t>
            </w:r>
          </w:p>
        </w:tc>
        <w:tc>
          <w:tcPr>
            <w:tcW w:w="2160" w:type="dxa"/>
            <w:tcBorders>
              <w:top w:val="single" w:sz="12" w:space="0" w:color="auto"/>
            </w:tcBorders>
          </w:tcPr>
          <w:p w14:paraId="4F570CED" w14:textId="4EDDF4F6" w:rsidR="00A95B92" w:rsidRPr="00AF723E" w:rsidRDefault="00A95B92" w:rsidP="0053641E">
            <w:pPr>
              <w:spacing w:line="360" w:lineRule="auto"/>
              <w:jc w:val="center"/>
              <w:rPr>
                <w:rFonts w:ascii="Times New Roman" w:hAnsi="Times New Roman" w:cs="Times New Roman"/>
                <w:sz w:val="24"/>
                <w:szCs w:val="24"/>
              </w:rPr>
            </w:pPr>
            <w:r w:rsidRPr="00AF723E">
              <w:rPr>
                <w:rFonts w:ascii="Times New Roman" w:hAnsi="Times New Roman" w:cs="Times New Roman"/>
                <w:sz w:val="24"/>
                <w:szCs w:val="24"/>
              </w:rPr>
              <w:t xml:space="preserve">                        </w:t>
            </w:r>
            <w:r w:rsidR="00025EC5">
              <w:rPr>
                <w:rFonts w:ascii="Times New Roman" w:hAnsi="Times New Roman" w:cs="Times New Roman"/>
                <w:sz w:val="24"/>
                <w:szCs w:val="24"/>
              </w:rPr>
              <w:t>4</w:t>
            </w:r>
            <w:r w:rsidRPr="00AF723E">
              <w:rPr>
                <w:rFonts w:ascii="Times New Roman" w:hAnsi="Times New Roman" w:cs="Times New Roman"/>
                <w:sz w:val="24"/>
                <w:szCs w:val="24"/>
              </w:rPr>
              <w:t xml:space="preserve"> - </w:t>
            </w:r>
            <w:r w:rsidR="00025EC5">
              <w:rPr>
                <w:rFonts w:ascii="Times New Roman" w:hAnsi="Times New Roman" w:cs="Times New Roman"/>
                <w:sz w:val="24"/>
                <w:szCs w:val="24"/>
              </w:rPr>
              <w:t>2</w:t>
            </w:r>
          </w:p>
        </w:tc>
        <w:tc>
          <w:tcPr>
            <w:tcW w:w="3690" w:type="dxa"/>
            <w:gridSpan w:val="2"/>
            <w:tcBorders>
              <w:top w:val="single" w:sz="12" w:space="0" w:color="auto"/>
            </w:tcBorders>
          </w:tcPr>
          <w:p w14:paraId="121CE6E5" w14:textId="3E8FCF4F" w:rsidR="00A95B92" w:rsidRPr="00AF723E" w:rsidRDefault="004173A9" w:rsidP="004173A9">
            <w:pPr>
              <w:spacing w:line="360" w:lineRule="auto"/>
              <w:jc w:val="right"/>
              <w:rPr>
                <w:rFonts w:ascii="Times New Roman" w:hAnsi="Times New Roman" w:cs="Times New Roman"/>
                <w:sz w:val="24"/>
                <w:szCs w:val="24"/>
              </w:rPr>
            </w:pPr>
            <w:r w:rsidRPr="00A41D1C">
              <w:rPr>
                <w:rFonts w:ascii="Times New Roman" w:hAnsi="Times New Roman" w:cs="Times New Roman"/>
                <w:sz w:val="24"/>
                <w:szCs w:val="24"/>
              </w:rPr>
              <w:t>Under</w:t>
            </w:r>
            <w:r w:rsidR="00A95B92" w:rsidRPr="00A41D1C">
              <w:rPr>
                <w:rFonts w:ascii="Times New Roman" w:hAnsi="Times New Roman" w:cs="Times New Roman"/>
                <w:sz w:val="24"/>
                <w:szCs w:val="24"/>
              </w:rPr>
              <w:t xml:space="preserve"> study</w:t>
            </w:r>
          </w:p>
        </w:tc>
      </w:tr>
      <w:tr w:rsidR="004173A9" w14:paraId="56E28C05" w14:textId="79D2A938" w:rsidTr="004173A9">
        <w:tc>
          <w:tcPr>
            <w:tcW w:w="3240" w:type="dxa"/>
          </w:tcPr>
          <w:p w14:paraId="207C56AB" w14:textId="660AA45A" w:rsidR="004173A9" w:rsidRPr="003E2908" w:rsidRDefault="004173A9" w:rsidP="000F6365">
            <w:pPr>
              <w:spacing w:line="360" w:lineRule="auto"/>
              <w:jc w:val="both"/>
              <w:rPr>
                <w:rFonts w:ascii="Times New Roman" w:hAnsi="Times New Roman" w:cs="Times New Roman"/>
                <w:sz w:val="24"/>
                <w:szCs w:val="24"/>
              </w:rPr>
            </w:pPr>
            <w:r w:rsidRPr="003E2908">
              <w:rPr>
                <w:rFonts w:ascii="Times New Roman" w:hAnsi="Times New Roman" w:cs="Times New Roman"/>
                <w:sz w:val="24"/>
                <w:szCs w:val="24"/>
              </w:rPr>
              <w:t>Vancomycin (VAN)</w:t>
            </w:r>
          </w:p>
        </w:tc>
        <w:tc>
          <w:tcPr>
            <w:tcW w:w="2160" w:type="dxa"/>
          </w:tcPr>
          <w:p w14:paraId="1F994B18" w14:textId="3EFF547E" w:rsidR="004173A9" w:rsidRPr="00AF723E" w:rsidRDefault="00D2720D" w:rsidP="0053641E">
            <w:pPr>
              <w:spacing w:line="360" w:lineRule="auto"/>
              <w:jc w:val="right"/>
              <w:rPr>
                <w:rFonts w:ascii="Times New Roman" w:hAnsi="Times New Roman" w:cs="Times New Roman"/>
                <w:sz w:val="24"/>
                <w:szCs w:val="24"/>
              </w:rPr>
            </w:pPr>
            <w:r w:rsidRPr="00D2720D">
              <w:rPr>
                <w:rFonts w:ascii="Times New Roman" w:hAnsi="Times New Roman" w:cs="Times New Roman"/>
                <w:sz w:val="24"/>
                <w:szCs w:val="24"/>
              </w:rPr>
              <w:t>6.25</w:t>
            </w:r>
            <w:r>
              <w:rPr>
                <w:rFonts w:ascii="Times New Roman" w:hAnsi="Times New Roman" w:cs="Times New Roman"/>
                <w:sz w:val="24"/>
                <w:szCs w:val="24"/>
              </w:rPr>
              <w:t xml:space="preserve"> - 2</w:t>
            </w:r>
            <w:r w:rsidRPr="00D2720D">
              <w:rPr>
                <w:rFonts w:ascii="Times New Roman" w:hAnsi="Times New Roman" w:cs="Times New Roman"/>
                <w:sz w:val="24"/>
                <w:szCs w:val="24"/>
              </w:rPr>
              <w:t>00</w:t>
            </w:r>
          </w:p>
        </w:tc>
        <w:tc>
          <w:tcPr>
            <w:tcW w:w="3690" w:type="dxa"/>
            <w:gridSpan w:val="2"/>
          </w:tcPr>
          <w:p w14:paraId="21B2B4DE" w14:textId="6A128D8F" w:rsidR="004173A9" w:rsidRPr="00AF723E" w:rsidRDefault="003D32B9" w:rsidP="004173A9">
            <w:pPr>
              <w:spacing w:line="360" w:lineRule="auto"/>
              <w:jc w:val="right"/>
              <w:rPr>
                <w:rFonts w:ascii="Times New Roman" w:hAnsi="Times New Roman" w:cs="Times New Roman"/>
                <w:sz w:val="24"/>
                <w:szCs w:val="24"/>
              </w:rPr>
            </w:pPr>
            <w:r>
              <w:rPr>
                <w:rFonts w:ascii="Times New Roman" w:hAnsi="Times New Roman" w:cs="Times New Roman"/>
                <w:sz w:val="24"/>
                <w:szCs w:val="24"/>
              </w:rPr>
              <w:t>C</w:t>
            </w:r>
            <w:r w:rsidRPr="003D32B9">
              <w:rPr>
                <w:rFonts w:ascii="Times New Roman" w:hAnsi="Times New Roman" w:cs="Times New Roman"/>
                <w:sz w:val="24"/>
                <w:szCs w:val="24"/>
              </w:rPr>
              <w:t>ell wall synthesis</w:t>
            </w:r>
          </w:p>
        </w:tc>
      </w:tr>
      <w:tr w:rsidR="004173A9" w14:paraId="34476C48" w14:textId="5FD1754C" w:rsidTr="004173A9">
        <w:tc>
          <w:tcPr>
            <w:tcW w:w="3240" w:type="dxa"/>
          </w:tcPr>
          <w:p w14:paraId="649A9662" w14:textId="378FEEC7" w:rsidR="004173A9" w:rsidRPr="003E2908" w:rsidRDefault="004173A9" w:rsidP="000F6365">
            <w:pPr>
              <w:spacing w:line="360" w:lineRule="auto"/>
              <w:jc w:val="both"/>
              <w:rPr>
                <w:rFonts w:ascii="Times New Roman" w:hAnsi="Times New Roman" w:cs="Times New Roman"/>
                <w:sz w:val="24"/>
                <w:szCs w:val="24"/>
              </w:rPr>
            </w:pPr>
            <w:r w:rsidRPr="003E2908">
              <w:rPr>
                <w:rFonts w:ascii="Times New Roman" w:hAnsi="Times New Roman" w:cs="Times New Roman"/>
                <w:sz w:val="24"/>
                <w:szCs w:val="24"/>
              </w:rPr>
              <w:t>Ethionamide (ETH)</w:t>
            </w:r>
          </w:p>
        </w:tc>
        <w:tc>
          <w:tcPr>
            <w:tcW w:w="2160" w:type="dxa"/>
          </w:tcPr>
          <w:p w14:paraId="1632C1F4" w14:textId="616278C5" w:rsidR="004173A9" w:rsidRPr="00AF723E" w:rsidRDefault="003D32B9" w:rsidP="0053641E">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4 </w:t>
            </w:r>
            <w:r w:rsidR="004173A9" w:rsidRPr="00AF723E">
              <w:rPr>
                <w:rFonts w:ascii="Times New Roman" w:hAnsi="Times New Roman" w:cs="Times New Roman"/>
                <w:sz w:val="24"/>
                <w:szCs w:val="24"/>
              </w:rPr>
              <w:t>–</w:t>
            </w:r>
            <w:r w:rsidR="004173A9">
              <w:rPr>
                <w:rFonts w:ascii="Times New Roman" w:hAnsi="Times New Roman" w:cs="Times New Roman"/>
                <w:sz w:val="24"/>
                <w:szCs w:val="24"/>
              </w:rPr>
              <w:t xml:space="preserve"> </w:t>
            </w:r>
            <w:r w:rsidR="004173A9" w:rsidRPr="00AF723E">
              <w:rPr>
                <w:rFonts w:ascii="Times New Roman" w:hAnsi="Times New Roman" w:cs="Times New Roman"/>
                <w:sz w:val="24"/>
                <w:szCs w:val="24"/>
              </w:rPr>
              <w:t>2</w:t>
            </w:r>
          </w:p>
        </w:tc>
        <w:tc>
          <w:tcPr>
            <w:tcW w:w="3690" w:type="dxa"/>
            <w:gridSpan w:val="2"/>
          </w:tcPr>
          <w:p w14:paraId="018DDDD9" w14:textId="113D161F" w:rsidR="004173A9" w:rsidRPr="00AF723E" w:rsidRDefault="003B112B" w:rsidP="004173A9">
            <w:pPr>
              <w:spacing w:line="360" w:lineRule="auto"/>
              <w:jc w:val="right"/>
              <w:rPr>
                <w:rFonts w:ascii="Times New Roman" w:hAnsi="Times New Roman" w:cs="Times New Roman"/>
                <w:sz w:val="24"/>
                <w:szCs w:val="24"/>
              </w:rPr>
            </w:pPr>
            <w:r>
              <w:rPr>
                <w:rFonts w:ascii="Times New Roman" w:hAnsi="Times New Roman" w:cs="Times New Roman"/>
                <w:sz w:val="24"/>
                <w:szCs w:val="24"/>
              </w:rPr>
              <w:t>M</w:t>
            </w:r>
            <w:r w:rsidRPr="003B112B">
              <w:rPr>
                <w:rFonts w:ascii="Times New Roman" w:hAnsi="Times New Roman" w:cs="Times New Roman"/>
                <w:sz w:val="24"/>
                <w:szCs w:val="24"/>
              </w:rPr>
              <w:t>ycolic acid biosynthesis</w:t>
            </w:r>
          </w:p>
        </w:tc>
      </w:tr>
      <w:tr w:rsidR="004173A9" w14:paraId="766733DE" w14:textId="3A847D43" w:rsidTr="004173A9">
        <w:tc>
          <w:tcPr>
            <w:tcW w:w="3240" w:type="dxa"/>
          </w:tcPr>
          <w:p w14:paraId="09C63E52" w14:textId="4EA59DB1" w:rsidR="004173A9" w:rsidRPr="003E2908" w:rsidRDefault="004173A9" w:rsidP="000F6365">
            <w:pPr>
              <w:spacing w:line="360" w:lineRule="auto"/>
              <w:jc w:val="both"/>
              <w:rPr>
                <w:rFonts w:ascii="Times New Roman" w:hAnsi="Times New Roman" w:cs="Times New Roman"/>
                <w:sz w:val="24"/>
                <w:szCs w:val="24"/>
              </w:rPr>
            </w:pPr>
            <w:r w:rsidRPr="003E2908">
              <w:rPr>
                <w:rFonts w:ascii="Times New Roman" w:hAnsi="Times New Roman" w:cs="Times New Roman"/>
                <w:sz w:val="24"/>
                <w:szCs w:val="24"/>
              </w:rPr>
              <w:t>Levofloxacin (LVF)</w:t>
            </w:r>
          </w:p>
        </w:tc>
        <w:tc>
          <w:tcPr>
            <w:tcW w:w="2160" w:type="dxa"/>
          </w:tcPr>
          <w:p w14:paraId="2C354454" w14:textId="1DC0E9E3" w:rsidR="004173A9" w:rsidRPr="00AF723E" w:rsidRDefault="004173A9" w:rsidP="0053641E">
            <w:pPr>
              <w:spacing w:line="360" w:lineRule="auto"/>
              <w:jc w:val="right"/>
              <w:rPr>
                <w:rFonts w:ascii="Times New Roman" w:hAnsi="Times New Roman" w:cs="Times New Roman"/>
                <w:sz w:val="24"/>
                <w:szCs w:val="24"/>
              </w:rPr>
            </w:pPr>
            <w:r w:rsidRPr="00AF723E">
              <w:rPr>
                <w:rFonts w:ascii="Times New Roman" w:hAnsi="Times New Roman" w:cs="Times New Roman"/>
                <w:sz w:val="24"/>
                <w:szCs w:val="24"/>
              </w:rPr>
              <w:t>0.125</w:t>
            </w:r>
          </w:p>
        </w:tc>
        <w:tc>
          <w:tcPr>
            <w:tcW w:w="3690" w:type="dxa"/>
            <w:gridSpan w:val="2"/>
          </w:tcPr>
          <w:p w14:paraId="07C64C5C" w14:textId="7F2BBC10" w:rsidR="004173A9" w:rsidRPr="00AF723E" w:rsidRDefault="003B112B" w:rsidP="004173A9">
            <w:pPr>
              <w:spacing w:line="360" w:lineRule="auto"/>
              <w:jc w:val="right"/>
              <w:rPr>
                <w:rFonts w:ascii="Times New Roman" w:hAnsi="Times New Roman" w:cs="Times New Roman"/>
                <w:sz w:val="24"/>
                <w:szCs w:val="24"/>
              </w:rPr>
            </w:pPr>
            <w:r w:rsidRPr="003B112B">
              <w:rPr>
                <w:rFonts w:ascii="Times New Roman" w:hAnsi="Times New Roman" w:cs="Times New Roman"/>
                <w:sz w:val="24"/>
                <w:szCs w:val="24"/>
              </w:rPr>
              <w:t>DNA gyrase and topoisomerase IV</w:t>
            </w:r>
          </w:p>
        </w:tc>
      </w:tr>
      <w:tr w:rsidR="004173A9" w14:paraId="4067AE2B" w14:textId="5D6C1C45" w:rsidTr="004173A9">
        <w:tc>
          <w:tcPr>
            <w:tcW w:w="3240" w:type="dxa"/>
          </w:tcPr>
          <w:p w14:paraId="703DC58E" w14:textId="78150942" w:rsidR="004173A9" w:rsidRPr="003E2908" w:rsidRDefault="004173A9" w:rsidP="000F6365">
            <w:pPr>
              <w:spacing w:line="360" w:lineRule="auto"/>
              <w:jc w:val="both"/>
              <w:rPr>
                <w:rFonts w:ascii="Times New Roman" w:hAnsi="Times New Roman" w:cs="Times New Roman"/>
                <w:sz w:val="24"/>
                <w:szCs w:val="24"/>
              </w:rPr>
            </w:pPr>
            <w:r w:rsidRPr="003E2908">
              <w:rPr>
                <w:rFonts w:ascii="Times New Roman" w:hAnsi="Times New Roman" w:cs="Times New Roman"/>
                <w:sz w:val="24"/>
                <w:szCs w:val="24"/>
              </w:rPr>
              <w:t>Para-aminosalicylic acid (PAS)</w:t>
            </w:r>
          </w:p>
        </w:tc>
        <w:tc>
          <w:tcPr>
            <w:tcW w:w="2160" w:type="dxa"/>
          </w:tcPr>
          <w:p w14:paraId="7B4FB325" w14:textId="7A6DA8D8" w:rsidR="004173A9" w:rsidRPr="00AF723E" w:rsidRDefault="004173A9" w:rsidP="0053641E">
            <w:pPr>
              <w:spacing w:line="360" w:lineRule="auto"/>
              <w:jc w:val="right"/>
              <w:rPr>
                <w:rFonts w:ascii="Times New Roman" w:hAnsi="Times New Roman" w:cs="Times New Roman"/>
                <w:sz w:val="24"/>
                <w:szCs w:val="24"/>
              </w:rPr>
            </w:pPr>
            <w:r w:rsidRPr="00AF723E">
              <w:rPr>
                <w:rFonts w:ascii="Times New Roman" w:hAnsi="Times New Roman" w:cs="Times New Roman"/>
                <w:sz w:val="24"/>
                <w:szCs w:val="24"/>
              </w:rPr>
              <w:t>0.2</w:t>
            </w:r>
            <w:r>
              <w:rPr>
                <w:rFonts w:ascii="Times New Roman" w:hAnsi="Times New Roman" w:cs="Times New Roman"/>
                <w:sz w:val="24"/>
                <w:szCs w:val="24"/>
              </w:rPr>
              <w:t>49</w:t>
            </w:r>
          </w:p>
        </w:tc>
        <w:tc>
          <w:tcPr>
            <w:tcW w:w="3690" w:type="dxa"/>
            <w:gridSpan w:val="2"/>
          </w:tcPr>
          <w:p w14:paraId="17855B69" w14:textId="675D546B" w:rsidR="004173A9" w:rsidRPr="00AF723E" w:rsidRDefault="003B112B" w:rsidP="004173A9">
            <w:pPr>
              <w:spacing w:line="360" w:lineRule="auto"/>
              <w:jc w:val="right"/>
              <w:rPr>
                <w:rFonts w:ascii="Times New Roman" w:hAnsi="Times New Roman" w:cs="Times New Roman"/>
                <w:sz w:val="24"/>
                <w:szCs w:val="24"/>
              </w:rPr>
            </w:pPr>
            <w:r>
              <w:rPr>
                <w:rFonts w:ascii="Times New Roman" w:hAnsi="Times New Roman" w:cs="Times New Roman"/>
                <w:sz w:val="24"/>
                <w:szCs w:val="24"/>
              </w:rPr>
              <w:t>F</w:t>
            </w:r>
            <w:r w:rsidRPr="003B112B">
              <w:rPr>
                <w:rFonts w:ascii="Times New Roman" w:hAnsi="Times New Roman" w:cs="Times New Roman"/>
                <w:sz w:val="24"/>
                <w:szCs w:val="24"/>
              </w:rPr>
              <w:t>olic acid</w:t>
            </w:r>
            <w:r>
              <w:rPr>
                <w:rFonts w:ascii="Times New Roman" w:hAnsi="Times New Roman" w:cs="Times New Roman"/>
                <w:sz w:val="24"/>
                <w:szCs w:val="24"/>
              </w:rPr>
              <w:t xml:space="preserve"> synthesis</w:t>
            </w:r>
          </w:p>
        </w:tc>
      </w:tr>
      <w:tr w:rsidR="00A95B92" w14:paraId="58D0F941" w14:textId="72108489" w:rsidTr="004173A9">
        <w:tc>
          <w:tcPr>
            <w:tcW w:w="3240" w:type="dxa"/>
          </w:tcPr>
          <w:p w14:paraId="64917F96" w14:textId="0B2A3C91" w:rsidR="00A95B92" w:rsidRPr="003E2908" w:rsidRDefault="00A95B92" w:rsidP="000F6365">
            <w:pPr>
              <w:spacing w:line="360" w:lineRule="auto"/>
              <w:jc w:val="both"/>
              <w:rPr>
                <w:rFonts w:ascii="Times New Roman" w:hAnsi="Times New Roman" w:cs="Times New Roman"/>
                <w:sz w:val="24"/>
                <w:szCs w:val="24"/>
              </w:rPr>
            </w:pPr>
            <w:r w:rsidRPr="003E2908">
              <w:rPr>
                <w:rFonts w:ascii="Times New Roman" w:hAnsi="Times New Roman" w:cs="Times New Roman"/>
                <w:sz w:val="24"/>
                <w:szCs w:val="24"/>
              </w:rPr>
              <w:t>Bedaquiline (BDQ)</w:t>
            </w:r>
          </w:p>
        </w:tc>
        <w:tc>
          <w:tcPr>
            <w:tcW w:w="2160" w:type="dxa"/>
          </w:tcPr>
          <w:p w14:paraId="688646F1" w14:textId="07A7D72B" w:rsidR="00A95B92" w:rsidRPr="00AF723E" w:rsidRDefault="00A95B92" w:rsidP="0053641E">
            <w:pPr>
              <w:spacing w:line="360" w:lineRule="auto"/>
              <w:jc w:val="right"/>
              <w:rPr>
                <w:rFonts w:ascii="Times New Roman" w:hAnsi="Times New Roman" w:cs="Times New Roman"/>
                <w:sz w:val="24"/>
                <w:szCs w:val="24"/>
              </w:rPr>
            </w:pPr>
            <w:r w:rsidRPr="00AF723E">
              <w:rPr>
                <w:rFonts w:ascii="Times New Roman" w:hAnsi="Times New Roman" w:cs="Times New Roman"/>
                <w:sz w:val="24"/>
                <w:szCs w:val="24"/>
              </w:rPr>
              <w:t>0.5</w:t>
            </w:r>
          </w:p>
        </w:tc>
        <w:tc>
          <w:tcPr>
            <w:tcW w:w="3690" w:type="dxa"/>
            <w:gridSpan w:val="2"/>
          </w:tcPr>
          <w:p w14:paraId="7EB98137" w14:textId="30B66432" w:rsidR="00A95B92" w:rsidRPr="00AF723E" w:rsidRDefault="00A95B92" w:rsidP="004173A9">
            <w:pPr>
              <w:spacing w:line="360" w:lineRule="auto"/>
              <w:jc w:val="right"/>
              <w:rPr>
                <w:rFonts w:ascii="Times New Roman" w:hAnsi="Times New Roman" w:cs="Times New Roman"/>
                <w:sz w:val="24"/>
                <w:szCs w:val="24"/>
              </w:rPr>
            </w:pPr>
            <w:r>
              <w:rPr>
                <w:rFonts w:ascii="Times New Roman" w:hAnsi="Times New Roman" w:cs="Times New Roman"/>
                <w:sz w:val="24"/>
                <w:szCs w:val="24"/>
              </w:rPr>
              <w:t>Energy metabolism/atp</w:t>
            </w:r>
          </w:p>
        </w:tc>
      </w:tr>
      <w:tr w:rsidR="00A95B92" w14:paraId="5DBC4EC3" w14:textId="6809676B" w:rsidTr="004173A9">
        <w:tc>
          <w:tcPr>
            <w:tcW w:w="3240" w:type="dxa"/>
          </w:tcPr>
          <w:p w14:paraId="7C7FC8E7" w14:textId="28EC4F21" w:rsidR="00A95B92" w:rsidRPr="003E2908" w:rsidRDefault="00A95B92" w:rsidP="000F6365">
            <w:pPr>
              <w:spacing w:line="360" w:lineRule="auto"/>
              <w:jc w:val="both"/>
              <w:rPr>
                <w:rFonts w:ascii="Times New Roman" w:hAnsi="Times New Roman" w:cs="Times New Roman"/>
                <w:sz w:val="24"/>
                <w:szCs w:val="24"/>
              </w:rPr>
            </w:pPr>
            <w:r w:rsidRPr="003E2908">
              <w:rPr>
                <w:rFonts w:ascii="Times New Roman" w:hAnsi="Times New Roman" w:cs="Times New Roman"/>
                <w:sz w:val="24"/>
                <w:szCs w:val="24"/>
              </w:rPr>
              <w:t>Isoniazid (INH)</w:t>
            </w:r>
          </w:p>
        </w:tc>
        <w:tc>
          <w:tcPr>
            <w:tcW w:w="2160" w:type="dxa"/>
          </w:tcPr>
          <w:p w14:paraId="6A9D9D76" w14:textId="770D33B4" w:rsidR="00A95B92" w:rsidRPr="00AF723E" w:rsidRDefault="00D2720D" w:rsidP="0053641E">
            <w:pPr>
              <w:spacing w:line="360" w:lineRule="auto"/>
              <w:jc w:val="right"/>
              <w:rPr>
                <w:rFonts w:ascii="Times New Roman" w:hAnsi="Times New Roman" w:cs="Times New Roman"/>
                <w:sz w:val="24"/>
                <w:szCs w:val="24"/>
              </w:rPr>
            </w:pPr>
            <w:r w:rsidRPr="00D2720D">
              <w:rPr>
                <w:rFonts w:ascii="Times New Roman" w:hAnsi="Times New Roman" w:cs="Times New Roman"/>
                <w:sz w:val="24"/>
                <w:szCs w:val="24"/>
              </w:rPr>
              <w:t>0.125</w:t>
            </w:r>
          </w:p>
        </w:tc>
        <w:tc>
          <w:tcPr>
            <w:tcW w:w="3690" w:type="dxa"/>
            <w:gridSpan w:val="2"/>
          </w:tcPr>
          <w:p w14:paraId="4BD151E8" w14:textId="2C54901A" w:rsidR="00A95B92" w:rsidRPr="00AF723E" w:rsidRDefault="00A95B92" w:rsidP="004173A9">
            <w:pPr>
              <w:spacing w:line="360" w:lineRule="auto"/>
              <w:jc w:val="right"/>
              <w:rPr>
                <w:rFonts w:ascii="Times New Roman" w:hAnsi="Times New Roman" w:cs="Times New Roman"/>
                <w:sz w:val="24"/>
                <w:szCs w:val="24"/>
              </w:rPr>
            </w:pPr>
            <w:r>
              <w:rPr>
                <w:rFonts w:ascii="Times New Roman" w:hAnsi="Times New Roman" w:cs="Times New Roman"/>
                <w:sz w:val="24"/>
                <w:szCs w:val="24"/>
              </w:rPr>
              <w:t>Cell wall synthesis/InhA</w:t>
            </w:r>
          </w:p>
        </w:tc>
      </w:tr>
      <w:tr w:rsidR="00A95B92" w14:paraId="0BEA7AD9" w14:textId="3840098C" w:rsidTr="004173A9">
        <w:tc>
          <w:tcPr>
            <w:tcW w:w="3240" w:type="dxa"/>
          </w:tcPr>
          <w:p w14:paraId="1E8D14AC" w14:textId="6BDCC6C9" w:rsidR="00A95B92" w:rsidRPr="003E2908" w:rsidRDefault="00A95B92" w:rsidP="000F6365">
            <w:pPr>
              <w:spacing w:line="360" w:lineRule="auto"/>
              <w:jc w:val="both"/>
              <w:rPr>
                <w:rFonts w:ascii="Times New Roman" w:hAnsi="Times New Roman" w:cs="Times New Roman"/>
                <w:sz w:val="24"/>
                <w:szCs w:val="24"/>
              </w:rPr>
            </w:pPr>
            <w:r w:rsidRPr="003E2908">
              <w:rPr>
                <w:rFonts w:ascii="Times New Roman" w:hAnsi="Times New Roman" w:cs="Times New Roman"/>
                <w:sz w:val="24"/>
                <w:szCs w:val="24"/>
              </w:rPr>
              <w:t>Rifampin (</w:t>
            </w:r>
            <w:r>
              <w:rPr>
                <w:rFonts w:ascii="Times New Roman" w:hAnsi="Times New Roman" w:cs="Times New Roman"/>
                <w:sz w:val="24"/>
                <w:szCs w:val="24"/>
              </w:rPr>
              <w:t>RIF</w:t>
            </w:r>
            <w:r w:rsidRPr="003E2908">
              <w:rPr>
                <w:rFonts w:ascii="Times New Roman" w:hAnsi="Times New Roman" w:cs="Times New Roman"/>
                <w:sz w:val="24"/>
                <w:szCs w:val="24"/>
              </w:rPr>
              <w:t>)</w:t>
            </w:r>
          </w:p>
        </w:tc>
        <w:tc>
          <w:tcPr>
            <w:tcW w:w="2160" w:type="dxa"/>
          </w:tcPr>
          <w:p w14:paraId="41C3B458" w14:textId="6247D034" w:rsidR="00A95B92" w:rsidRPr="00AF723E" w:rsidRDefault="00D2720D" w:rsidP="0053641E">
            <w:pPr>
              <w:spacing w:line="360" w:lineRule="auto"/>
              <w:jc w:val="right"/>
              <w:rPr>
                <w:rFonts w:ascii="Times New Roman" w:hAnsi="Times New Roman" w:cs="Times New Roman"/>
                <w:sz w:val="24"/>
                <w:szCs w:val="24"/>
              </w:rPr>
            </w:pPr>
            <w:r w:rsidRPr="00D2720D">
              <w:rPr>
                <w:rFonts w:ascii="Times New Roman" w:hAnsi="Times New Roman" w:cs="Times New Roman"/>
                <w:sz w:val="24"/>
                <w:szCs w:val="24"/>
              </w:rPr>
              <w:t>0.125</w:t>
            </w:r>
          </w:p>
        </w:tc>
        <w:tc>
          <w:tcPr>
            <w:tcW w:w="3690" w:type="dxa"/>
            <w:gridSpan w:val="2"/>
          </w:tcPr>
          <w:p w14:paraId="0BBB18A7" w14:textId="7BDF9DAB" w:rsidR="00A95B92" w:rsidRPr="00AF723E" w:rsidRDefault="00A95B92" w:rsidP="004173A9">
            <w:pPr>
              <w:spacing w:line="360" w:lineRule="auto"/>
              <w:jc w:val="right"/>
              <w:rPr>
                <w:rFonts w:ascii="Times New Roman" w:hAnsi="Times New Roman" w:cs="Times New Roman"/>
                <w:sz w:val="24"/>
                <w:szCs w:val="24"/>
              </w:rPr>
            </w:pPr>
            <w:r>
              <w:rPr>
                <w:rFonts w:ascii="Times New Roman" w:hAnsi="Times New Roman" w:cs="Times New Roman"/>
                <w:sz w:val="24"/>
                <w:szCs w:val="24"/>
              </w:rPr>
              <w:t>RNA polymerase/RpoB</w:t>
            </w:r>
          </w:p>
        </w:tc>
      </w:tr>
      <w:tr w:rsidR="00A95B92" w14:paraId="4CD2D912" w14:textId="23AD7B83" w:rsidTr="004173A9">
        <w:tc>
          <w:tcPr>
            <w:tcW w:w="3240" w:type="dxa"/>
          </w:tcPr>
          <w:p w14:paraId="3701D74F" w14:textId="3B637C4D" w:rsidR="00A95B92" w:rsidRPr="003E2908" w:rsidRDefault="00A95B92" w:rsidP="000F6365">
            <w:pPr>
              <w:spacing w:line="360" w:lineRule="auto"/>
              <w:jc w:val="both"/>
              <w:rPr>
                <w:rFonts w:ascii="Times New Roman" w:hAnsi="Times New Roman" w:cs="Times New Roman"/>
                <w:sz w:val="24"/>
                <w:szCs w:val="24"/>
              </w:rPr>
            </w:pPr>
            <w:r w:rsidRPr="003E2908">
              <w:rPr>
                <w:rFonts w:ascii="Times New Roman" w:hAnsi="Times New Roman" w:cs="Times New Roman"/>
                <w:sz w:val="24"/>
                <w:szCs w:val="24"/>
              </w:rPr>
              <w:t>Ethambutol (EMB)</w:t>
            </w:r>
          </w:p>
        </w:tc>
        <w:tc>
          <w:tcPr>
            <w:tcW w:w="2160" w:type="dxa"/>
          </w:tcPr>
          <w:p w14:paraId="0E9D8A64" w14:textId="6C494B96" w:rsidR="00A95B92" w:rsidRPr="00AF723E" w:rsidRDefault="00D2720D" w:rsidP="0053641E">
            <w:pPr>
              <w:spacing w:line="36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3690" w:type="dxa"/>
            <w:gridSpan w:val="2"/>
          </w:tcPr>
          <w:p w14:paraId="516816F2" w14:textId="6B05B7E3" w:rsidR="00A95B92" w:rsidRPr="00AF723E" w:rsidRDefault="00A95B92" w:rsidP="004173A9">
            <w:pPr>
              <w:spacing w:line="360" w:lineRule="auto"/>
              <w:jc w:val="right"/>
              <w:rPr>
                <w:rFonts w:ascii="Times New Roman" w:hAnsi="Times New Roman" w:cs="Times New Roman"/>
                <w:sz w:val="24"/>
                <w:szCs w:val="24"/>
              </w:rPr>
            </w:pPr>
            <w:r>
              <w:rPr>
                <w:rFonts w:ascii="Times New Roman" w:hAnsi="Times New Roman" w:cs="Times New Roman"/>
                <w:sz w:val="24"/>
                <w:szCs w:val="24"/>
              </w:rPr>
              <w:t>Cell wall synthesis/EmbA</w:t>
            </w:r>
          </w:p>
        </w:tc>
      </w:tr>
      <w:tr w:rsidR="004173A9" w14:paraId="08F785C2" w14:textId="21453142" w:rsidTr="004173A9">
        <w:tc>
          <w:tcPr>
            <w:tcW w:w="3240" w:type="dxa"/>
          </w:tcPr>
          <w:p w14:paraId="60F43045" w14:textId="1B1519B2" w:rsidR="004173A9" w:rsidRPr="003E2908" w:rsidRDefault="004173A9" w:rsidP="000F6365">
            <w:pPr>
              <w:spacing w:line="360" w:lineRule="auto"/>
              <w:jc w:val="both"/>
              <w:rPr>
                <w:rFonts w:ascii="Times New Roman" w:hAnsi="Times New Roman" w:cs="Times New Roman"/>
                <w:sz w:val="24"/>
                <w:szCs w:val="24"/>
              </w:rPr>
            </w:pPr>
            <w:r w:rsidRPr="003E2908">
              <w:rPr>
                <w:rFonts w:ascii="Times New Roman" w:hAnsi="Times New Roman" w:cs="Times New Roman"/>
                <w:sz w:val="24"/>
                <w:szCs w:val="24"/>
              </w:rPr>
              <w:t>Amikacin (AMK)</w:t>
            </w:r>
          </w:p>
        </w:tc>
        <w:tc>
          <w:tcPr>
            <w:tcW w:w="2160" w:type="dxa"/>
          </w:tcPr>
          <w:p w14:paraId="1CABE186" w14:textId="0CD2DF25" w:rsidR="004173A9" w:rsidRPr="00AF723E" w:rsidRDefault="004173A9" w:rsidP="0053641E">
            <w:pPr>
              <w:spacing w:line="360" w:lineRule="auto"/>
              <w:jc w:val="right"/>
              <w:rPr>
                <w:rFonts w:ascii="Times New Roman" w:hAnsi="Times New Roman" w:cs="Times New Roman"/>
                <w:sz w:val="24"/>
                <w:szCs w:val="24"/>
              </w:rPr>
            </w:pPr>
            <w:r w:rsidRPr="00AF723E">
              <w:rPr>
                <w:rFonts w:ascii="Times New Roman" w:hAnsi="Times New Roman" w:cs="Times New Roman"/>
                <w:sz w:val="24"/>
                <w:szCs w:val="24"/>
              </w:rPr>
              <w:t>2</w:t>
            </w:r>
            <w:r>
              <w:rPr>
                <w:rFonts w:ascii="Times New Roman" w:hAnsi="Times New Roman" w:cs="Times New Roman"/>
                <w:sz w:val="24"/>
                <w:szCs w:val="24"/>
              </w:rPr>
              <w:t xml:space="preserve"> </w:t>
            </w:r>
            <w:r w:rsidRPr="00AF723E">
              <w:rPr>
                <w:rFonts w:ascii="Times New Roman" w:hAnsi="Times New Roman" w:cs="Times New Roman"/>
                <w:sz w:val="24"/>
                <w:szCs w:val="24"/>
              </w:rPr>
              <w:t>–</w:t>
            </w:r>
            <w:r>
              <w:rPr>
                <w:rFonts w:ascii="Times New Roman" w:hAnsi="Times New Roman" w:cs="Times New Roman"/>
                <w:sz w:val="24"/>
                <w:szCs w:val="24"/>
              </w:rPr>
              <w:t xml:space="preserve"> </w:t>
            </w:r>
            <w:r w:rsidRPr="00AF723E">
              <w:rPr>
                <w:rFonts w:ascii="Times New Roman" w:hAnsi="Times New Roman" w:cs="Times New Roman"/>
                <w:sz w:val="24"/>
                <w:szCs w:val="24"/>
              </w:rPr>
              <w:t>4</w:t>
            </w:r>
          </w:p>
        </w:tc>
        <w:tc>
          <w:tcPr>
            <w:tcW w:w="3690" w:type="dxa"/>
            <w:gridSpan w:val="2"/>
          </w:tcPr>
          <w:p w14:paraId="767F87AA" w14:textId="1180D652" w:rsidR="004173A9" w:rsidRPr="00AF723E" w:rsidRDefault="003B112B" w:rsidP="004173A9">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r w:rsidRPr="003B112B">
              <w:rPr>
                <w:rFonts w:ascii="Times New Roman" w:hAnsi="Times New Roman" w:cs="Times New Roman"/>
                <w:sz w:val="24"/>
                <w:szCs w:val="24"/>
              </w:rPr>
              <w:t>0S ribosomal subunits</w:t>
            </w:r>
          </w:p>
        </w:tc>
      </w:tr>
      <w:tr w:rsidR="00A95B92" w14:paraId="66065AA8" w14:textId="77777777" w:rsidTr="004173A9">
        <w:tc>
          <w:tcPr>
            <w:tcW w:w="3240" w:type="dxa"/>
          </w:tcPr>
          <w:p w14:paraId="01A9F695" w14:textId="5BA3F364" w:rsidR="00A95B92" w:rsidRPr="00B364C2" w:rsidRDefault="00A95B92" w:rsidP="000F6365">
            <w:pPr>
              <w:spacing w:line="360" w:lineRule="auto"/>
              <w:jc w:val="both"/>
              <w:rPr>
                <w:rFonts w:ascii="Times New Roman" w:hAnsi="Times New Roman" w:cs="Times New Roman"/>
                <w:sz w:val="24"/>
                <w:szCs w:val="24"/>
              </w:rPr>
            </w:pPr>
            <w:r w:rsidRPr="00B364C2">
              <w:rPr>
                <w:rFonts w:ascii="Times New Roman" w:hAnsi="Times New Roman" w:cs="Times New Roman"/>
                <w:sz w:val="24"/>
                <w:szCs w:val="24"/>
              </w:rPr>
              <w:t>Linezolid</w:t>
            </w:r>
            <w:r>
              <w:rPr>
                <w:rFonts w:ascii="Times New Roman" w:hAnsi="Times New Roman" w:cs="Times New Roman"/>
                <w:sz w:val="24"/>
                <w:szCs w:val="24"/>
              </w:rPr>
              <w:t xml:space="preserve"> (</w:t>
            </w:r>
            <w:r w:rsidRPr="000C3D22">
              <w:rPr>
                <w:rFonts w:ascii="Times New Roman" w:hAnsi="Times New Roman" w:cs="Times New Roman"/>
                <w:sz w:val="24"/>
                <w:szCs w:val="24"/>
              </w:rPr>
              <w:t>LZD</w:t>
            </w:r>
            <w:r>
              <w:rPr>
                <w:rFonts w:ascii="Times New Roman" w:hAnsi="Times New Roman" w:cs="Times New Roman"/>
                <w:sz w:val="24"/>
                <w:szCs w:val="24"/>
              </w:rPr>
              <w:t>)</w:t>
            </w:r>
          </w:p>
        </w:tc>
        <w:tc>
          <w:tcPr>
            <w:tcW w:w="2160" w:type="dxa"/>
          </w:tcPr>
          <w:p w14:paraId="7C3FC541" w14:textId="32DDD8FB" w:rsidR="00A95B92" w:rsidRPr="00AF723E" w:rsidRDefault="00A95B92" w:rsidP="0053641E">
            <w:pPr>
              <w:spacing w:line="360" w:lineRule="auto"/>
              <w:jc w:val="right"/>
              <w:rPr>
                <w:rFonts w:ascii="Times New Roman" w:hAnsi="Times New Roman" w:cs="Times New Roman"/>
                <w:sz w:val="24"/>
                <w:szCs w:val="24"/>
              </w:rPr>
            </w:pPr>
            <w:r w:rsidRPr="00AF723E">
              <w:rPr>
                <w:rFonts w:ascii="Times New Roman" w:hAnsi="Times New Roman" w:cs="Times New Roman"/>
                <w:sz w:val="24"/>
                <w:szCs w:val="24"/>
              </w:rPr>
              <w:t>1</w:t>
            </w:r>
            <w:r>
              <w:rPr>
                <w:rFonts w:ascii="Times New Roman" w:hAnsi="Times New Roman" w:cs="Times New Roman"/>
                <w:sz w:val="24"/>
                <w:szCs w:val="24"/>
              </w:rPr>
              <w:t>.0</w:t>
            </w:r>
            <w:r w:rsidR="009B7514">
              <w:rPr>
                <w:rFonts w:ascii="Times New Roman" w:hAnsi="Times New Roman" w:cs="Times New Roman"/>
                <w:sz w:val="24"/>
                <w:szCs w:val="24"/>
              </w:rPr>
              <w:t xml:space="preserve"> - 2</w:t>
            </w:r>
          </w:p>
        </w:tc>
        <w:tc>
          <w:tcPr>
            <w:tcW w:w="3690" w:type="dxa"/>
            <w:gridSpan w:val="2"/>
          </w:tcPr>
          <w:p w14:paraId="70F0EECE" w14:textId="7ACFADCF" w:rsidR="00A95B92" w:rsidRPr="00AF723E" w:rsidRDefault="00A95B92" w:rsidP="004173A9">
            <w:pPr>
              <w:spacing w:line="360" w:lineRule="auto"/>
              <w:jc w:val="right"/>
              <w:rPr>
                <w:rFonts w:ascii="Times New Roman" w:hAnsi="Times New Roman" w:cs="Times New Roman"/>
                <w:sz w:val="24"/>
                <w:szCs w:val="24"/>
              </w:rPr>
            </w:pPr>
            <w:r>
              <w:rPr>
                <w:rFonts w:ascii="Times New Roman" w:hAnsi="Times New Roman" w:cs="Times New Roman"/>
                <w:sz w:val="24"/>
                <w:szCs w:val="24"/>
              </w:rPr>
              <w:t>Protein sy</w:t>
            </w:r>
            <w:r w:rsidR="004173A9">
              <w:rPr>
                <w:rFonts w:ascii="Times New Roman" w:hAnsi="Times New Roman" w:cs="Times New Roman"/>
                <w:sz w:val="24"/>
                <w:szCs w:val="24"/>
              </w:rPr>
              <w:t>nthesis/rRNA</w:t>
            </w:r>
          </w:p>
        </w:tc>
      </w:tr>
      <w:tr w:rsidR="004173A9" w14:paraId="17D9181B" w14:textId="77777777" w:rsidTr="004173A9">
        <w:tc>
          <w:tcPr>
            <w:tcW w:w="3240" w:type="dxa"/>
          </w:tcPr>
          <w:p w14:paraId="4A941ECD" w14:textId="0B32A65B" w:rsidR="004173A9" w:rsidRPr="00B364C2" w:rsidRDefault="004173A9" w:rsidP="000F6365">
            <w:pPr>
              <w:spacing w:line="360" w:lineRule="auto"/>
              <w:jc w:val="both"/>
              <w:rPr>
                <w:rFonts w:ascii="Times New Roman" w:hAnsi="Times New Roman" w:cs="Times New Roman"/>
                <w:sz w:val="24"/>
                <w:szCs w:val="24"/>
              </w:rPr>
            </w:pPr>
            <w:r w:rsidRPr="00B364C2">
              <w:rPr>
                <w:rFonts w:ascii="Times New Roman" w:hAnsi="Times New Roman" w:cs="Times New Roman"/>
                <w:sz w:val="24"/>
                <w:szCs w:val="24"/>
              </w:rPr>
              <w:t xml:space="preserve">Clarithromycin </w:t>
            </w:r>
            <w:r>
              <w:rPr>
                <w:rFonts w:ascii="Times New Roman" w:hAnsi="Times New Roman" w:cs="Times New Roman"/>
                <w:sz w:val="24"/>
                <w:szCs w:val="24"/>
              </w:rPr>
              <w:t>(</w:t>
            </w:r>
            <w:r w:rsidRPr="000C3D22">
              <w:rPr>
                <w:rFonts w:ascii="Times New Roman" w:hAnsi="Times New Roman" w:cs="Times New Roman"/>
                <w:sz w:val="24"/>
                <w:szCs w:val="24"/>
              </w:rPr>
              <w:t>C</w:t>
            </w:r>
            <w:r>
              <w:rPr>
                <w:rFonts w:ascii="Times New Roman" w:hAnsi="Times New Roman" w:cs="Times New Roman"/>
                <w:sz w:val="24"/>
                <w:szCs w:val="24"/>
              </w:rPr>
              <w:t>la)</w:t>
            </w:r>
          </w:p>
        </w:tc>
        <w:tc>
          <w:tcPr>
            <w:tcW w:w="2160" w:type="dxa"/>
          </w:tcPr>
          <w:p w14:paraId="3F23DA0B" w14:textId="60F0A4B0" w:rsidR="004173A9" w:rsidRPr="00AF723E" w:rsidRDefault="004173A9" w:rsidP="0053641E">
            <w:pPr>
              <w:spacing w:line="360" w:lineRule="auto"/>
              <w:jc w:val="right"/>
              <w:rPr>
                <w:rFonts w:ascii="Times New Roman" w:hAnsi="Times New Roman" w:cs="Times New Roman"/>
                <w:sz w:val="24"/>
                <w:szCs w:val="24"/>
              </w:rPr>
            </w:pPr>
            <w:r w:rsidRPr="00AF723E">
              <w:rPr>
                <w:rFonts w:ascii="Times New Roman" w:hAnsi="Times New Roman" w:cs="Times New Roman"/>
                <w:sz w:val="24"/>
                <w:szCs w:val="24"/>
              </w:rPr>
              <w:t>2.0</w:t>
            </w:r>
          </w:p>
        </w:tc>
        <w:tc>
          <w:tcPr>
            <w:tcW w:w="3690" w:type="dxa"/>
            <w:gridSpan w:val="2"/>
          </w:tcPr>
          <w:p w14:paraId="47FB898F" w14:textId="7978E17E" w:rsidR="004173A9" w:rsidRPr="00AF723E" w:rsidRDefault="003B112B" w:rsidP="0053641E">
            <w:pPr>
              <w:spacing w:line="360" w:lineRule="auto"/>
              <w:jc w:val="right"/>
              <w:rPr>
                <w:rFonts w:ascii="Times New Roman" w:hAnsi="Times New Roman" w:cs="Times New Roman"/>
                <w:sz w:val="24"/>
                <w:szCs w:val="24"/>
              </w:rPr>
            </w:pPr>
            <w:r w:rsidRPr="003B112B">
              <w:rPr>
                <w:rFonts w:ascii="Times New Roman" w:hAnsi="Times New Roman" w:cs="Times New Roman"/>
                <w:sz w:val="24"/>
                <w:szCs w:val="24"/>
              </w:rPr>
              <w:t>50S ribosomal subunit</w:t>
            </w:r>
          </w:p>
        </w:tc>
      </w:tr>
    </w:tbl>
    <w:p w14:paraId="06281CCE" w14:textId="77777777" w:rsidR="00A86089" w:rsidRDefault="00A86089" w:rsidP="00A74A4A">
      <w:pPr>
        <w:spacing w:line="360" w:lineRule="auto"/>
        <w:jc w:val="both"/>
        <w:rPr>
          <w:rFonts w:ascii="Times New Roman" w:hAnsi="Times New Roman" w:cs="Times New Roman"/>
          <w:b/>
          <w:bCs/>
          <w:sz w:val="24"/>
          <w:szCs w:val="24"/>
        </w:rPr>
      </w:pPr>
    </w:p>
    <w:p w14:paraId="4A35788A" w14:textId="77777777" w:rsidR="00A86089" w:rsidRDefault="00A86089" w:rsidP="00A74A4A">
      <w:pPr>
        <w:spacing w:line="360" w:lineRule="auto"/>
        <w:jc w:val="both"/>
        <w:rPr>
          <w:rFonts w:ascii="Times New Roman" w:hAnsi="Times New Roman" w:cs="Times New Roman"/>
          <w:b/>
          <w:bCs/>
          <w:sz w:val="24"/>
          <w:szCs w:val="24"/>
        </w:rPr>
      </w:pPr>
    </w:p>
    <w:p w14:paraId="7AE90BE2" w14:textId="4BE5CEA5" w:rsidR="00BB78A1" w:rsidRDefault="00BB78A1" w:rsidP="00A74A4A">
      <w:pPr>
        <w:spacing w:line="360" w:lineRule="auto"/>
        <w:jc w:val="both"/>
        <w:rPr>
          <w:rFonts w:ascii="Times New Roman" w:hAnsi="Times New Roman" w:cs="Times New Roman"/>
          <w:sz w:val="24"/>
          <w:szCs w:val="24"/>
        </w:rPr>
      </w:pPr>
      <w:r w:rsidRPr="00A86089">
        <w:rPr>
          <w:rFonts w:ascii="Times New Roman" w:hAnsi="Times New Roman" w:cs="Times New Roman"/>
          <w:sz w:val="24"/>
          <w:szCs w:val="24"/>
        </w:rPr>
        <w:t xml:space="preserve">Table </w:t>
      </w:r>
      <w:r w:rsidR="00C115BC" w:rsidRPr="00A86089">
        <w:rPr>
          <w:rFonts w:ascii="Times New Roman" w:hAnsi="Times New Roman" w:cs="Times New Roman"/>
          <w:sz w:val="24"/>
          <w:szCs w:val="24"/>
        </w:rPr>
        <w:t>2</w:t>
      </w:r>
      <w:r w:rsidRPr="00A86089">
        <w:rPr>
          <w:rFonts w:ascii="Times New Roman" w:hAnsi="Times New Roman" w:cs="Times New Roman"/>
          <w:sz w:val="24"/>
          <w:szCs w:val="24"/>
        </w:rPr>
        <w:t>.</w:t>
      </w:r>
      <w:r w:rsidRPr="00BB78A1">
        <w:rPr>
          <w:rFonts w:ascii="Times New Roman" w:hAnsi="Times New Roman" w:cs="Times New Roman"/>
          <w:sz w:val="24"/>
          <w:szCs w:val="24"/>
        </w:rPr>
        <w:t xml:space="preserve"> </w:t>
      </w:r>
      <w:r w:rsidR="00B56828" w:rsidRPr="00BB78A1">
        <w:rPr>
          <w:rFonts w:ascii="Times New Roman" w:hAnsi="Times New Roman" w:cs="Times New Roman"/>
          <w:sz w:val="24"/>
          <w:szCs w:val="24"/>
        </w:rPr>
        <w:t>FIC</w:t>
      </w:r>
      <w:r w:rsidR="00B56828">
        <w:rPr>
          <w:rFonts w:ascii="Times New Roman" w:hAnsi="Times New Roman" w:cs="Times New Roman"/>
          <w:sz w:val="24"/>
          <w:szCs w:val="24"/>
        </w:rPr>
        <w:t>-</w:t>
      </w:r>
      <w:r w:rsidR="00B56828" w:rsidRPr="00BB78A1">
        <w:rPr>
          <w:rFonts w:ascii="Times New Roman" w:hAnsi="Times New Roman" w:cs="Times New Roman"/>
          <w:sz w:val="24"/>
          <w:szCs w:val="24"/>
        </w:rPr>
        <w:t>I</w:t>
      </w:r>
      <w:r w:rsidR="00B56828">
        <w:rPr>
          <w:rFonts w:ascii="Times New Roman" w:hAnsi="Times New Roman" w:cs="Times New Roman"/>
          <w:sz w:val="24"/>
          <w:szCs w:val="24"/>
        </w:rPr>
        <w:t>ndex</w:t>
      </w:r>
      <w:r w:rsidR="00BF7C94" w:rsidRPr="00BF7C94">
        <w:rPr>
          <w:rFonts w:ascii="Times New Roman" w:hAnsi="Times New Roman" w:cs="Times New Roman"/>
          <w:sz w:val="24"/>
          <w:szCs w:val="24"/>
        </w:rPr>
        <w:t xml:space="preserve"> of </w:t>
      </w:r>
      <w:r w:rsidR="00BF7C94">
        <w:rPr>
          <w:rFonts w:ascii="Times New Roman" w:hAnsi="Times New Roman" w:cs="Times New Roman"/>
          <w:sz w:val="24"/>
          <w:szCs w:val="24"/>
        </w:rPr>
        <w:t>DL25</w:t>
      </w:r>
      <w:r w:rsidR="00BF7C94" w:rsidRPr="00BF7C94">
        <w:rPr>
          <w:rFonts w:ascii="Times New Roman" w:hAnsi="Times New Roman" w:cs="Times New Roman"/>
          <w:sz w:val="24"/>
          <w:szCs w:val="24"/>
        </w:rPr>
        <w:t xml:space="preserve"> </w:t>
      </w:r>
      <w:r w:rsidR="00BC6A5C">
        <w:rPr>
          <w:rFonts w:ascii="Times New Roman" w:hAnsi="Times New Roman" w:cs="Times New Roman"/>
          <w:sz w:val="24"/>
          <w:szCs w:val="24"/>
        </w:rPr>
        <w:t xml:space="preserve">compound </w:t>
      </w:r>
      <w:r w:rsidR="00B56828">
        <w:rPr>
          <w:rFonts w:ascii="Times New Roman" w:hAnsi="Times New Roman" w:cs="Times New Roman"/>
          <w:sz w:val="24"/>
          <w:szCs w:val="24"/>
        </w:rPr>
        <w:t>plus</w:t>
      </w:r>
      <w:r w:rsidR="00BF7C94" w:rsidRPr="00BF7C94">
        <w:rPr>
          <w:rFonts w:ascii="Times New Roman" w:hAnsi="Times New Roman" w:cs="Times New Roman"/>
          <w:sz w:val="24"/>
          <w:szCs w:val="24"/>
        </w:rPr>
        <w:t xml:space="preserve"> </w:t>
      </w:r>
      <w:r w:rsidR="00B56828">
        <w:rPr>
          <w:rFonts w:ascii="Times New Roman" w:hAnsi="Times New Roman" w:cs="Times New Roman"/>
          <w:sz w:val="24"/>
          <w:szCs w:val="24"/>
        </w:rPr>
        <w:t>eleven</w:t>
      </w:r>
      <w:r w:rsidR="00B56828" w:rsidRPr="006866A6">
        <w:rPr>
          <w:rFonts w:ascii="Times New Roman" w:hAnsi="Times New Roman" w:cs="Times New Roman"/>
          <w:sz w:val="24"/>
          <w:szCs w:val="24"/>
        </w:rPr>
        <w:t xml:space="preserve"> </w:t>
      </w:r>
      <w:r w:rsidR="00B56828">
        <w:rPr>
          <w:rFonts w:ascii="Times New Roman" w:hAnsi="Times New Roman" w:cs="Times New Roman"/>
          <w:sz w:val="24"/>
          <w:szCs w:val="24"/>
        </w:rPr>
        <w:t xml:space="preserve">commercially available </w:t>
      </w:r>
      <w:r w:rsidR="00B56828" w:rsidRPr="006866A6">
        <w:rPr>
          <w:rFonts w:ascii="Times New Roman" w:hAnsi="Times New Roman" w:cs="Times New Roman"/>
          <w:sz w:val="24"/>
          <w:szCs w:val="24"/>
        </w:rPr>
        <w:t>antibiotics</w:t>
      </w:r>
      <w:r w:rsidR="00B56828">
        <w:rPr>
          <w:rFonts w:ascii="Times New Roman" w:hAnsi="Times New Roman" w:cs="Times New Roman"/>
          <w:sz w:val="24"/>
          <w:szCs w:val="24"/>
        </w:rPr>
        <w:t xml:space="preserve"> against </w:t>
      </w:r>
      <w:r w:rsidR="00B56828" w:rsidRPr="00315E78">
        <w:rPr>
          <w:rFonts w:ascii="Times New Roman" w:hAnsi="Times New Roman" w:cs="Times New Roman"/>
          <w:i/>
          <w:iCs/>
          <w:sz w:val="24"/>
          <w:szCs w:val="24"/>
        </w:rPr>
        <w:t>M. tuberculosis H37</w:t>
      </w:r>
      <w:r w:rsidR="00B56828">
        <w:rPr>
          <w:rFonts w:ascii="Times New Roman" w:hAnsi="Times New Roman" w:cs="Times New Roman"/>
          <w:i/>
          <w:iCs/>
          <w:sz w:val="24"/>
          <w:szCs w:val="24"/>
        </w:rPr>
        <w:t>Alra</w:t>
      </w:r>
      <w:r w:rsidR="00A82151">
        <w:rPr>
          <w:rFonts w:ascii="Times New Roman" w:hAnsi="Times New Roman" w:cs="Times New Roman"/>
          <w:i/>
          <w:iCs/>
          <w:sz w:val="24"/>
          <w:szCs w:val="24"/>
        </w:rPr>
        <w:t>.</w:t>
      </w:r>
      <w:r w:rsidR="007E469A" w:rsidRPr="007E469A">
        <w:t xml:space="preserve"> </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524"/>
        <w:gridCol w:w="1910"/>
        <w:gridCol w:w="1537"/>
        <w:gridCol w:w="2091"/>
      </w:tblGrid>
      <w:tr w:rsidR="00A74A4A" w14:paraId="58E94427" w14:textId="77777777" w:rsidTr="006A37A0">
        <w:tc>
          <w:tcPr>
            <w:tcW w:w="1954" w:type="dxa"/>
            <w:vMerge w:val="restart"/>
            <w:tcBorders>
              <w:top w:val="single" w:sz="12" w:space="0" w:color="auto"/>
              <w:bottom w:val="single" w:sz="12" w:space="0" w:color="auto"/>
            </w:tcBorders>
          </w:tcPr>
          <w:p w14:paraId="79581E5D" w14:textId="77777777" w:rsidR="00A74A4A" w:rsidRDefault="00A74A4A" w:rsidP="00A74A4A">
            <w:pPr>
              <w:spacing w:line="360" w:lineRule="auto"/>
              <w:jc w:val="center"/>
              <w:rPr>
                <w:rFonts w:ascii="Times New Roman" w:hAnsi="Times New Roman" w:cs="Times New Roman"/>
                <w:sz w:val="24"/>
                <w:szCs w:val="24"/>
              </w:rPr>
            </w:pPr>
          </w:p>
          <w:p w14:paraId="35644E41" w14:textId="59A71186" w:rsidR="00A74A4A" w:rsidRPr="00A74A4A" w:rsidRDefault="00A74A4A" w:rsidP="00A74A4A">
            <w:pPr>
              <w:spacing w:line="360" w:lineRule="auto"/>
              <w:jc w:val="center"/>
              <w:rPr>
                <w:rFonts w:ascii="Times New Roman" w:hAnsi="Times New Roman" w:cs="Times New Roman"/>
                <w:sz w:val="24"/>
                <w:szCs w:val="24"/>
              </w:rPr>
            </w:pPr>
            <w:r w:rsidRPr="00A74A4A">
              <w:rPr>
                <w:rFonts w:ascii="Times New Roman" w:hAnsi="Times New Roman" w:cs="Times New Roman"/>
                <w:sz w:val="24"/>
                <w:szCs w:val="24"/>
              </w:rPr>
              <w:t>Drug/</w:t>
            </w:r>
            <w:r>
              <w:rPr>
                <w:rFonts w:ascii="Times New Roman" w:hAnsi="Times New Roman" w:cs="Times New Roman"/>
                <w:sz w:val="24"/>
                <w:szCs w:val="24"/>
              </w:rPr>
              <w:t>DL25</w:t>
            </w:r>
          </w:p>
          <w:p w14:paraId="45962191" w14:textId="6A8DB6B4" w:rsidR="00A74A4A" w:rsidRDefault="00A74A4A" w:rsidP="00A74A4A">
            <w:pPr>
              <w:spacing w:line="360" w:lineRule="auto"/>
              <w:jc w:val="center"/>
              <w:rPr>
                <w:rFonts w:ascii="Times New Roman" w:hAnsi="Times New Roman" w:cs="Times New Roman"/>
                <w:sz w:val="24"/>
                <w:szCs w:val="24"/>
              </w:rPr>
            </w:pPr>
            <w:r w:rsidRPr="00A74A4A">
              <w:rPr>
                <w:rFonts w:ascii="Times New Roman" w:hAnsi="Times New Roman" w:cs="Times New Roman"/>
                <w:sz w:val="24"/>
                <w:szCs w:val="24"/>
              </w:rPr>
              <w:t>combination</w:t>
            </w:r>
          </w:p>
        </w:tc>
        <w:tc>
          <w:tcPr>
            <w:tcW w:w="3434" w:type="dxa"/>
            <w:gridSpan w:val="2"/>
            <w:tcBorders>
              <w:top w:val="single" w:sz="12" w:space="0" w:color="auto"/>
              <w:bottom w:val="single" w:sz="12" w:space="0" w:color="auto"/>
            </w:tcBorders>
          </w:tcPr>
          <w:p w14:paraId="67D33835" w14:textId="77777777" w:rsidR="00A74A4A" w:rsidRDefault="00A74A4A" w:rsidP="001130F4">
            <w:pPr>
              <w:spacing w:line="360" w:lineRule="auto"/>
              <w:jc w:val="both"/>
              <w:rPr>
                <w:rFonts w:ascii="Times New Roman" w:hAnsi="Times New Roman" w:cs="Times New Roman"/>
                <w:sz w:val="24"/>
                <w:szCs w:val="24"/>
              </w:rPr>
            </w:pPr>
          </w:p>
          <w:p w14:paraId="2B92860D" w14:textId="610A9B23" w:rsidR="00A74A4A" w:rsidRDefault="00A74A4A" w:rsidP="00A74A4A">
            <w:pPr>
              <w:spacing w:line="360" w:lineRule="auto"/>
              <w:jc w:val="center"/>
              <w:rPr>
                <w:rFonts w:ascii="Times New Roman" w:hAnsi="Times New Roman" w:cs="Times New Roman"/>
                <w:sz w:val="24"/>
                <w:szCs w:val="24"/>
              </w:rPr>
            </w:pPr>
            <w:r w:rsidRPr="00BB78A1">
              <w:rPr>
                <w:rFonts w:ascii="Times New Roman" w:hAnsi="Times New Roman" w:cs="Times New Roman"/>
                <w:sz w:val="24"/>
                <w:szCs w:val="24"/>
              </w:rPr>
              <w:t>MIC (μg/ml)</w:t>
            </w:r>
            <w:r w:rsidR="000A48C2">
              <w:rPr>
                <w:rFonts w:ascii="Times New Roman" w:hAnsi="Times New Roman" w:cs="Times New Roman"/>
                <w:sz w:val="24"/>
                <w:szCs w:val="24"/>
              </w:rPr>
              <w:t xml:space="preserve"> of combination</w:t>
            </w:r>
          </w:p>
        </w:tc>
        <w:tc>
          <w:tcPr>
            <w:tcW w:w="1537" w:type="dxa"/>
            <w:vMerge w:val="restart"/>
            <w:tcBorders>
              <w:top w:val="single" w:sz="12" w:space="0" w:color="auto"/>
              <w:bottom w:val="single" w:sz="12" w:space="0" w:color="auto"/>
            </w:tcBorders>
          </w:tcPr>
          <w:p w14:paraId="47E34C87" w14:textId="77777777" w:rsidR="00A74A4A" w:rsidRDefault="00A74A4A" w:rsidP="001130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5AB4D86" w14:textId="77777777" w:rsidR="00C456E6" w:rsidRDefault="00C456E6" w:rsidP="00A74A4A">
            <w:pPr>
              <w:spacing w:line="360" w:lineRule="auto"/>
              <w:jc w:val="center"/>
              <w:rPr>
                <w:rFonts w:ascii="Times New Roman" w:hAnsi="Times New Roman" w:cs="Times New Roman"/>
                <w:sz w:val="24"/>
                <w:szCs w:val="24"/>
              </w:rPr>
            </w:pPr>
          </w:p>
          <w:p w14:paraId="2F2D7A6A" w14:textId="36B7D676" w:rsidR="00A74A4A" w:rsidRDefault="00A74A4A" w:rsidP="00A74A4A">
            <w:pPr>
              <w:spacing w:line="360" w:lineRule="auto"/>
              <w:jc w:val="center"/>
              <w:rPr>
                <w:rFonts w:ascii="Times New Roman" w:hAnsi="Times New Roman" w:cs="Times New Roman"/>
                <w:sz w:val="24"/>
                <w:szCs w:val="24"/>
              </w:rPr>
            </w:pPr>
            <w:r w:rsidRPr="00BB78A1">
              <w:rPr>
                <w:rFonts w:ascii="Times New Roman" w:hAnsi="Times New Roman" w:cs="Times New Roman"/>
                <w:sz w:val="24"/>
                <w:szCs w:val="24"/>
              </w:rPr>
              <w:t>FICI</w:t>
            </w:r>
          </w:p>
        </w:tc>
        <w:tc>
          <w:tcPr>
            <w:tcW w:w="2091" w:type="dxa"/>
            <w:vMerge w:val="restart"/>
            <w:tcBorders>
              <w:top w:val="single" w:sz="12" w:space="0" w:color="auto"/>
              <w:bottom w:val="single" w:sz="12" w:space="0" w:color="auto"/>
            </w:tcBorders>
          </w:tcPr>
          <w:p w14:paraId="314109E9" w14:textId="77777777" w:rsidR="00A74A4A" w:rsidRDefault="00A74A4A" w:rsidP="00A74A4A">
            <w:pPr>
              <w:spacing w:line="360" w:lineRule="auto"/>
              <w:jc w:val="center"/>
              <w:rPr>
                <w:rFonts w:ascii="Times New Roman" w:hAnsi="Times New Roman" w:cs="Times New Roman"/>
                <w:sz w:val="24"/>
                <w:szCs w:val="24"/>
              </w:rPr>
            </w:pPr>
          </w:p>
          <w:p w14:paraId="7A54DF8F" w14:textId="77777777" w:rsidR="00A74A4A" w:rsidRDefault="00A74A4A" w:rsidP="00A74A4A">
            <w:pPr>
              <w:spacing w:line="360" w:lineRule="auto"/>
              <w:jc w:val="center"/>
              <w:rPr>
                <w:rFonts w:ascii="Times New Roman" w:hAnsi="Times New Roman" w:cs="Times New Roman"/>
                <w:sz w:val="24"/>
                <w:szCs w:val="24"/>
              </w:rPr>
            </w:pPr>
          </w:p>
          <w:p w14:paraId="7EBDF83D" w14:textId="27261087" w:rsidR="00A74A4A" w:rsidRDefault="00A74A4A" w:rsidP="00A74A4A">
            <w:pPr>
              <w:spacing w:line="360" w:lineRule="auto"/>
              <w:jc w:val="center"/>
              <w:rPr>
                <w:rFonts w:ascii="Times New Roman" w:hAnsi="Times New Roman" w:cs="Times New Roman"/>
                <w:sz w:val="24"/>
                <w:szCs w:val="24"/>
              </w:rPr>
            </w:pPr>
            <w:r w:rsidRPr="00BB78A1">
              <w:rPr>
                <w:rFonts w:ascii="Times New Roman" w:hAnsi="Times New Roman" w:cs="Times New Roman"/>
                <w:sz w:val="24"/>
                <w:szCs w:val="24"/>
              </w:rPr>
              <w:t>Effect</w:t>
            </w:r>
          </w:p>
        </w:tc>
      </w:tr>
      <w:tr w:rsidR="00A74A4A" w14:paraId="6CC5521D" w14:textId="77777777" w:rsidTr="00C456E6">
        <w:tc>
          <w:tcPr>
            <w:tcW w:w="1954" w:type="dxa"/>
            <w:vMerge/>
            <w:tcBorders>
              <w:top w:val="single" w:sz="12" w:space="0" w:color="auto"/>
              <w:bottom w:val="single" w:sz="12" w:space="0" w:color="auto"/>
            </w:tcBorders>
          </w:tcPr>
          <w:p w14:paraId="24B22C5D" w14:textId="77777777" w:rsidR="00A74A4A" w:rsidRPr="00A74A4A" w:rsidRDefault="00A74A4A" w:rsidP="00A74A4A">
            <w:pPr>
              <w:spacing w:line="360" w:lineRule="auto"/>
              <w:jc w:val="both"/>
              <w:rPr>
                <w:rFonts w:ascii="Times New Roman" w:hAnsi="Times New Roman" w:cs="Times New Roman"/>
                <w:sz w:val="24"/>
                <w:szCs w:val="24"/>
              </w:rPr>
            </w:pPr>
          </w:p>
        </w:tc>
        <w:tc>
          <w:tcPr>
            <w:tcW w:w="1524" w:type="dxa"/>
            <w:tcBorders>
              <w:top w:val="single" w:sz="12" w:space="0" w:color="auto"/>
              <w:bottom w:val="single" w:sz="12" w:space="0" w:color="auto"/>
            </w:tcBorders>
          </w:tcPr>
          <w:p w14:paraId="625CAA93" w14:textId="1FD1FC85" w:rsidR="00A74A4A" w:rsidRPr="00BB78A1" w:rsidRDefault="00A5324A" w:rsidP="001130F4">
            <w:pPr>
              <w:spacing w:line="360" w:lineRule="auto"/>
              <w:jc w:val="both"/>
              <w:rPr>
                <w:rFonts w:ascii="Times New Roman" w:hAnsi="Times New Roman" w:cs="Times New Roman"/>
                <w:sz w:val="24"/>
                <w:szCs w:val="24"/>
              </w:rPr>
            </w:pPr>
            <w:r>
              <w:rPr>
                <w:rFonts w:ascii="Times New Roman" w:hAnsi="Times New Roman" w:cs="Times New Roman"/>
                <w:sz w:val="24"/>
                <w:szCs w:val="24"/>
              </w:rPr>
              <w:t>DL25</w:t>
            </w:r>
          </w:p>
        </w:tc>
        <w:tc>
          <w:tcPr>
            <w:tcW w:w="1910" w:type="dxa"/>
            <w:tcBorders>
              <w:top w:val="single" w:sz="12" w:space="0" w:color="auto"/>
              <w:bottom w:val="single" w:sz="12" w:space="0" w:color="auto"/>
            </w:tcBorders>
          </w:tcPr>
          <w:p w14:paraId="1808AB7C" w14:textId="698F0F33" w:rsidR="00A74A4A" w:rsidRPr="00BB78A1" w:rsidRDefault="00E02B24" w:rsidP="001130F4">
            <w:pPr>
              <w:spacing w:line="360" w:lineRule="auto"/>
              <w:jc w:val="both"/>
              <w:rPr>
                <w:rFonts w:ascii="Times New Roman" w:hAnsi="Times New Roman" w:cs="Times New Roman"/>
                <w:sz w:val="24"/>
                <w:szCs w:val="24"/>
              </w:rPr>
            </w:pPr>
            <w:r>
              <w:rPr>
                <w:rFonts w:ascii="Times New Roman" w:hAnsi="Times New Roman" w:cs="Times New Roman"/>
                <w:sz w:val="24"/>
                <w:szCs w:val="24"/>
              </w:rPr>
              <w:t>Antibiotics</w:t>
            </w:r>
          </w:p>
        </w:tc>
        <w:tc>
          <w:tcPr>
            <w:tcW w:w="1537" w:type="dxa"/>
            <w:vMerge/>
            <w:tcBorders>
              <w:top w:val="single" w:sz="12" w:space="0" w:color="auto"/>
              <w:bottom w:val="single" w:sz="12" w:space="0" w:color="auto"/>
            </w:tcBorders>
          </w:tcPr>
          <w:p w14:paraId="1FA784F9" w14:textId="77777777" w:rsidR="00A74A4A" w:rsidRPr="00BB78A1" w:rsidRDefault="00A74A4A" w:rsidP="001130F4">
            <w:pPr>
              <w:spacing w:line="360" w:lineRule="auto"/>
              <w:jc w:val="both"/>
              <w:rPr>
                <w:rFonts w:ascii="Times New Roman" w:hAnsi="Times New Roman" w:cs="Times New Roman"/>
                <w:sz w:val="24"/>
                <w:szCs w:val="24"/>
              </w:rPr>
            </w:pPr>
          </w:p>
        </w:tc>
        <w:tc>
          <w:tcPr>
            <w:tcW w:w="2091" w:type="dxa"/>
            <w:vMerge/>
            <w:tcBorders>
              <w:top w:val="single" w:sz="12" w:space="0" w:color="auto"/>
              <w:bottom w:val="single" w:sz="12" w:space="0" w:color="auto"/>
            </w:tcBorders>
          </w:tcPr>
          <w:p w14:paraId="78A4FE86" w14:textId="77777777" w:rsidR="00A74A4A" w:rsidRPr="00BB78A1" w:rsidRDefault="00A74A4A" w:rsidP="001130F4">
            <w:pPr>
              <w:spacing w:line="360" w:lineRule="auto"/>
              <w:jc w:val="both"/>
              <w:rPr>
                <w:rFonts w:ascii="Times New Roman" w:hAnsi="Times New Roman" w:cs="Times New Roman"/>
                <w:sz w:val="24"/>
                <w:szCs w:val="24"/>
              </w:rPr>
            </w:pPr>
          </w:p>
        </w:tc>
      </w:tr>
      <w:tr w:rsidR="00A74A4A" w14:paraId="0A02089E" w14:textId="77777777" w:rsidTr="00C456E6">
        <w:tc>
          <w:tcPr>
            <w:tcW w:w="1954" w:type="dxa"/>
            <w:tcBorders>
              <w:top w:val="single" w:sz="12" w:space="0" w:color="auto"/>
              <w:bottom w:val="nil"/>
            </w:tcBorders>
          </w:tcPr>
          <w:p w14:paraId="07E88016" w14:textId="5435C3F7" w:rsidR="00A74A4A" w:rsidRPr="00521939" w:rsidRDefault="00A74A4A" w:rsidP="001130F4">
            <w:pPr>
              <w:spacing w:line="360" w:lineRule="auto"/>
              <w:jc w:val="both"/>
              <w:rPr>
                <w:rFonts w:ascii="Times New Roman" w:hAnsi="Times New Roman" w:cs="Times New Roman"/>
              </w:rPr>
            </w:pPr>
            <w:r w:rsidRPr="00521939">
              <w:rPr>
                <w:rFonts w:ascii="Times New Roman" w:hAnsi="Times New Roman" w:cs="Times New Roman"/>
              </w:rPr>
              <w:t>DL25-</w:t>
            </w:r>
            <w:bookmarkStart w:id="1" w:name="_Hlk165753777"/>
            <w:r w:rsidR="00056390" w:rsidRPr="00521939">
              <w:rPr>
                <w:rFonts w:ascii="Times New Roman" w:hAnsi="Times New Roman" w:cs="Times New Roman"/>
              </w:rPr>
              <w:t>V</w:t>
            </w:r>
            <w:r w:rsidRPr="00521939">
              <w:rPr>
                <w:rFonts w:ascii="Times New Roman" w:hAnsi="Times New Roman" w:cs="Times New Roman"/>
              </w:rPr>
              <w:t>an</w:t>
            </w:r>
            <w:bookmarkEnd w:id="1"/>
          </w:p>
        </w:tc>
        <w:tc>
          <w:tcPr>
            <w:tcW w:w="1524" w:type="dxa"/>
            <w:tcBorders>
              <w:top w:val="single" w:sz="12" w:space="0" w:color="auto"/>
              <w:bottom w:val="nil"/>
            </w:tcBorders>
          </w:tcPr>
          <w:p w14:paraId="61702177" w14:textId="2382A4F3" w:rsidR="00A74A4A" w:rsidRPr="00521939" w:rsidRDefault="00D028AD" w:rsidP="001130F4">
            <w:pPr>
              <w:spacing w:line="360" w:lineRule="auto"/>
              <w:jc w:val="both"/>
              <w:rPr>
                <w:rFonts w:ascii="Times New Roman" w:hAnsi="Times New Roman" w:cs="Times New Roman"/>
              </w:rPr>
            </w:pPr>
            <w:r w:rsidRPr="00521939">
              <w:rPr>
                <w:rFonts w:ascii="Times New Roman" w:hAnsi="Times New Roman" w:cs="Times New Roman"/>
              </w:rPr>
              <w:t>2</w:t>
            </w:r>
            <w:r w:rsidR="006C6DDD" w:rsidRPr="00521939">
              <w:rPr>
                <w:rFonts w:ascii="Times New Roman" w:hAnsi="Times New Roman" w:cs="Times New Roman"/>
              </w:rPr>
              <w:t>/</w:t>
            </w:r>
            <w:r w:rsidR="009A0D48" w:rsidRPr="00521939">
              <w:rPr>
                <w:rFonts w:ascii="Times New Roman" w:hAnsi="Times New Roman" w:cs="Times New Roman"/>
              </w:rPr>
              <w:t>4</w:t>
            </w:r>
          </w:p>
        </w:tc>
        <w:tc>
          <w:tcPr>
            <w:tcW w:w="1910" w:type="dxa"/>
            <w:tcBorders>
              <w:top w:val="single" w:sz="12" w:space="0" w:color="auto"/>
              <w:bottom w:val="nil"/>
            </w:tcBorders>
          </w:tcPr>
          <w:p w14:paraId="7D867F64" w14:textId="35CE8085" w:rsidR="00A74A4A" w:rsidRPr="00521939" w:rsidRDefault="00D028AD" w:rsidP="001130F4">
            <w:pPr>
              <w:spacing w:line="360" w:lineRule="auto"/>
              <w:jc w:val="both"/>
              <w:rPr>
                <w:rFonts w:ascii="Times New Roman" w:hAnsi="Times New Roman" w:cs="Times New Roman"/>
              </w:rPr>
            </w:pPr>
            <w:r w:rsidRPr="00521939">
              <w:rPr>
                <w:rFonts w:ascii="Times New Roman" w:hAnsi="Times New Roman" w:cs="Times New Roman"/>
              </w:rPr>
              <w:t>8</w:t>
            </w:r>
            <w:r w:rsidR="006C6DDD" w:rsidRPr="00521939">
              <w:rPr>
                <w:rFonts w:ascii="Times New Roman" w:hAnsi="Times New Roman" w:cs="Times New Roman"/>
              </w:rPr>
              <w:t>/</w:t>
            </w:r>
            <w:r w:rsidRPr="00521939">
              <w:rPr>
                <w:rFonts w:ascii="Times New Roman" w:hAnsi="Times New Roman" w:cs="Times New Roman"/>
              </w:rPr>
              <w:t>8</w:t>
            </w:r>
          </w:p>
        </w:tc>
        <w:tc>
          <w:tcPr>
            <w:tcW w:w="1537" w:type="dxa"/>
            <w:tcBorders>
              <w:top w:val="single" w:sz="12" w:space="0" w:color="auto"/>
              <w:bottom w:val="nil"/>
            </w:tcBorders>
          </w:tcPr>
          <w:p w14:paraId="2BD21065" w14:textId="7614ED15" w:rsidR="00A74A4A" w:rsidRPr="00521939" w:rsidRDefault="00D028AD" w:rsidP="001130F4">
            <w:pPr>
              <w:spacing w:line="360" w:lineRule="auto"/>
              <w:jc w:val="both"/>
              <w:rPr>
                <w:rFonts w:ascii="Times New Roman" w:hAnsi="Times New Roman" w:cs="Times New Roman"/>
              </w:rPr>
            </w:pPr>
            <w:r w:rsidRPr="00521939">
              <w:rPr>
                <w:rFonts w:ascii="Times New Roman" w:hAnsi="Times New Roman" w:cs="Times New Roman"/>
              </w:rPr>
              <w:t>1.5</w:t>
            </w:r>
          </w:p>
        </w:tc>
        <w:tc>
          <w:tcPr>
            <w:tcW w:w="2091" w:type="dxa"/>
            <w:tcBorders>
              <w:top w:val="single" w:sz="12" w:space="0" w:color="auto"/>
              <w:bottom w:val="nil"/>
            </w:tcBorders>
          </w:tcPr>
          <w:p w14:paraId="34CBD047" w14:textId="3E07B431" w:rsidR="00A74A4A" w:rsidRPr="00521939" w:rsidRDefault="00D028AD" w:rsidP="001130F4">
            <w:pPr>
              <w:spacing w:line="360" w:lineRule="auto"/>
              <w:jc w:val="both"/>
              <w:rPr>
                <w:rFonts w:ascii="Times New Roman" w:hAnsi="Times New Roman" w:cs="Times New Roman"/>
              </w:rPr>
            </w:pPr>
            <w:r w:rsidRPr="00521939">
              <w:rPr>
                <w:rFonts w:ascii="Times New Roman" w:hAnsi="Times New Roman" w:cs="Times New Roman"/>
              </w:rPr>
              <w:t>Indifferent</w:t>
            </w:r>
          </w:p>
        </w:tc>
      </w:tr>
      <w:tr w:rsidR="00A74A4A" w14:paraId="0E2B5CF3" w14:textId="77777777" w:rsidTr="00C456E6">
        <w:tc>
          <w:tcPr>
            <w:tcW w:w="1954" w:type="dxa"/>
            <w:tcBorders>
              <w:top w:val="nil"/>
            </w:tcBorders>
          </w:tcPr>
          <w:p w14:paraId="47D5B2B8" w14:textId="396EB1DE" w:rsidR="00A74A4A" w:rsidRPr="00521939" w:rsidRDefault="00A74A4A" w:rsidP="001130F4">
            <w:pPr>
              <w:spacing w:line="360" w:lineRule="auto"/>
              <w:jc w:val="both"/>
              <w:rPr>
                <w:rFonts w:ascii="Times New Roman" w:hAnsi="Times New Roman" w:cs="Times New Roman"/>
              </w:rPr>
            </w:pPr>
            <w:r w:rsidRPr="00521939">
              <w:rPr>
                <w:rFonts w:ascii="Times New Roman" w:hAnsi="Times New Roman" w:cs="Times New Roman"/>
              </w:rPr>
              <w:t>DL25-RIF</w:t>
            </w:r>
          </w:p>
        </w:tc>
        <w:tc>
          <w:tcPr>
            <w:tcW w:w="1524" w:type="dxa"/>
            <w:tcBorders>
              <w:top w:val="nil"/>
            </w:tcBorders>
          </w:tcPr>
          <w:p w14:paraId="6B9D31CB" w14:textId="62B6E0DA" w:rsidR="00A74A4A" w:rsidRPr="00521939" w:rsidRDefault="00337C89" w:rsidP="001130F4">
            <w:pPr>
              <w:spacing w:line="360" w:lineRule="auto"/>
              <w:jc w:val="both"/>
              <w:rPr>
                <w:rFonts w:ascii="Times New Roman" w:hAnsi="Times New Roman" w:cs="Times New Roman"/>
              </w:rPr>
            </w:pPr>
            <w:r w:rsidRPr="00521939">
              <w:rPr>
                <w:rFonts w:ascii="Times New Roman" w:hAnsi="Times New Roman" w:cs="Times New Roman"/>
              </w:rPr>
              <w:t>2</w:t>
            </w:r>
            <w:r w:rsidR="006C6DDD" w:rsidRPr="00521939">
              <w:rPr>
                <w:rFonts w:ascii="Times New Roman" w:hAnsi="Times New Roman" w:cs="Times New Roman"/>
              </w:rPr>
              <w:t>/</w:t>
            </w:r>
            <w:r w:rsidRPr="00521939">
              <w:t xml:space="preserve"> 4</w:t>
            </w:r>
          </w:p>
        </w:tc>
        <w:tc>
          <w:tcPr>
            <w:tcW w:w="1910" w:type="dxa"/>
            <w:tcBorders>
              <w:top w:val="nil"/>
            </w:tcBorders>
          </w:tcPr>
          <w:p w14:paraId="6C3607D8" w14:textId="7E9949A5" w:rsidR="00A74A4A" w:rsidRPr="00521939" w:rsidRDefault="0059212D" w:rsidP="00BF7792">
            <w:pPr>
              <w:spacing w:line="360" w:lineRule="auto"/>
              <w:jc w:val="both"/>
              <w:rPr>
                <w:rFonts w:ascii="Times New Roman" w:hAnsi="Times New Roman" w:cs="Times New Roman"/>
              </w:rPr>
            </w:pPr>
            <w:r w:rsidRPr="00521939">
              <w:rPr>
                <w:rFonts w:ascii="Times New Roman" w:hAnsi="Times New Roman" w:cs="Times New Roman"/>
              </w:rPr>
              <w:t>0.</w:t>
            </w:r>
            <w:r w:rsidR="00C03E69" w:rsidRPr="00521939">
              <w:rPr>
                <w:rFonts w:ascii="Times New Roman" w:hAnsi="Times New Roman" w:cs="Times New Roman"/>
              </w:rPr>
              <w:t>1</w:t>
            </w:r>
            <w:r w:rsidR="00337C89" w:rsidRPr="00521939">
              <w:rPr>
                <w:rFonts w:ascii="Times New Roman" w:hAnsi="Times New Roman" w:cs="Times New Roman"/>
              </w:rPr>
              <w:t>/</w:t>
            </w:r>
            <w:r w:rsidR="007E2501" w:rsidRPr="00521939">
              <w:rPr>
                <w:rFonts w:ascii="Times New Roman" w:hAnsi="Times New Roman" w:cs="Times New Roman"/>
              </w:rPr>
              <w:t>0.025</w:t>
            </w:r>
          </w:p>
        </w:tc>
        <w:tc>
          <w:tcPr>
            <w:tcW w:w="1537" w:type="dxa"/>
            <w:tcBorders>
              <w:top w:val="nil"/>
            </w:tcBorders>
          </w:tcPr>
          <w:p w14:paraId="6FD7E2DA" w14:textId="2B22E13A" w:rsidR="00A74A4A" w:rsidRPr="00521939" w:rsidRDefault="00194DD0" w:rsidP="001130F4">
            <w:pPr>
              <w:spacing w:line="360" w:lineRule="auto"/>
              <w:jc w:val="both"/>
              <w:rPr>
                <w:rFonts w:ascii="Times New Roman" w:hAnsi="Times New Roman" w:cs="Times New Roman"/>
              </w:rPr>
            </w:pPr>
            <w:r w:rsidRPr="00521939">
              <w:rPr>
                <w:rFonts w:ascii="Times New Roman" w:hAnsi="Times New Roman" w:cs="Times New Roman"/>
              </w:rPr>
              <w:t>0.</w:t>
            </w:r>
            <w:r w:rsidR="00337C89" w:rsidRPr="00521939">
              <w:rPr>
                <w:rFonts w:ascii="Times New Roman" w:hAnsi="Times New Roman" w:cs="Times New Roman"/>
              </w:rPr>
              <w:t>7</w:t>
            </w:r>
            <w:r w:rsidR="00F34387" w:rsidRPr="00521939">
              <w:rPr>
                <w:rFonts w:ascii="Times New Roman" w:hAnsi="Times New Roman" w:cs="Times New Roman"/>
              </w:rPr>
              <w:t>5</w:t>
            </w:r>
          </w:p>
        </w:tc>
        <w:tc>
          <w:tcPr>
            <w:tcW w:w="2091" w:type="dxa"/>
            <w:tcBorders>
              <w:top w:val="nil"/>
            </w:tcBorders>
          </w:tcPr>
          <w:p w14:paraId="4826A8ED" w14:textId="7BC449CB" w:rsidR="00A74A4A" w:rsidRPr="00521939" w:rsidRDefault="00A5324A" w:rsidP="001130F4">
            <w:pPr>
              <w:spacing w:line="360" w:lineRule="auto"/>
              <w:jc w:val="both"/>
              <w:rPr>
                <w:rFonts w:ascii="Times New Roman" w:hAnsi="Times New Roman" w:cs="Times New Roman"/>
              </w:rPr>
            </w:pPr>
            <w:r w:rsidRPr="00521939">
              <w:rPr>
                <w:rFonts w:ascii="Times New Roman" w:hAnsi="Times New Roman" w:cs="Times New Roman"/>
              </w:rPr>
              <w:t>Partially Synergism</w:t>
            </w:r>
          </w:p>
        </w:tc>
      </w:tr>
      <w:tr w:rsidR="00A74A4A" w14:paraId="2396376C" w14:textId="77777777" w:rsidTr="006A37A0">
        <w:tc>
          <w:tcPr>
            <w:tcW w:w="1954" w:type="dxa"/>
          </w:tcPr>
          <w:p w14:paraId="30998961" w14:textId="3B1BAF65" w:rsidR="00A74A4A" w:rsidRPr="00521939" w:rsidRDefault="00A74A4A" w:rsidP="001130F4">
            <w:pPr>
              <w:spacing w:line="360" w:lineRule="auto"/>
              <w:jc w:val="both"/>
              <w:rPr>
                <w:rFonts w:ascii="Times New Roman" w:hAnsi="Times New Roman" w:cs="Times New Roman"/>
              </w:rPr>
            </w:pPr>
            <w:r w:rsidRPr="00521939">
              <w:rPr>
                <w:rFonts w:ascii="Times New Roman" w:hAnsi="Times New Roman" w:cs="Times New Roman"/>
              </w:rPr>
              <w:t>DL25-</w:t>
            </w:r>
            <w:bookmarkStart w:id="2" w:name="_Hlk165753871"/>
            <w:r w:rsidRPr="00521939">
              <w:rPr>
                <w:rFonts w:ascii="Times New Roman" w:hAnsi="Times New Roman" w:cs="Times New Roman"/>
              </w:rPr>
              <w:t>EMB</w:t>
            </w:r>
            <w:bookmarkEnd w:id="2"/>
          </w:p>
        </w:tc>
        <w:tc>
          <w:tcPr>
            <w:tcW w:w="1524" w:type="dxa"/>
          </w:tcPr>
          <w:p w14:paraId="05E4BA71" w14:textId="3445CE8F" w:rsidR="00A74A4A" w:rsidRPr="00521939" w:rsidRDefault="0007653C" w:rsidP="001130F4">
            <w:pPr>
              <w:spacing w:line="360" w:lineRule="auto"/>
              <w:jc w:val="both"/>
              <w:rPr>
                <w:rFonts w:ascii="Times New Roman" w:hAnsi="Times New Roman" w:cs="Times New Roman"/>
              </w:rPr>
            </w:pPr>
            <w:r w:rsidRPr="00521939">
              <w:rPr>
                <w:rFonts w:ascii="Times New Roman" w:hAnsi="Times New Roman" w:cs="Times New Roman"/>
              </w:rPr>
              <w:t>2</w:t>
            </w:r>
            <w:r w:rsidR="00F34387" w:rsidRPr="00521939">
              <w:rPr>
                <w:rFonts w:ascii="Times New Roman" w:hAnsi="Times New Roman" w:cs="Times New Roman"/>
              </w:rPr>
              <w:t>/</w:t>
            </w:r>
            <w:r w:rsidR="00CB343E" w:rsidRPr="00521939">
              <w:rPr>
                <w:rFonts w:ascii="Times New Roman" w:hAnsi="Times New Roman" w:cs="Times New Roman"/>
              </w:rPr>
              <w:t>4</w:t>
            </w:r>
          </w:p>
        </w:tc>
        <w:tc>
          <w:tcPr>
            <w:tcW w:w="1910" w:type="dxa"/>
          </w:tcPr>
          <w:p w14:paraId="0D38236F" w14:textId="2B7DC7B7" w:rsidR="00A74A4A" w:rsidRPr="00C90DE6" w:rsidRDefault="00C90DE6" w:rsidP="001130F4">
            <w:pPr>
              <w:spacing w:line="360" w:lineRule="auto"/>
              <w:jc w:val="both"/>
              <w:rPr>
                <w:rFonts w:ascii="Times New Roman" w:hAnsi="Times New Roman" w:cs="Times New Roman"/>
              </w:rPr>
            </w:pPr>
            <w:r w:rsidRPr="00C90DE6">
              <w:rPr>
                <w:rFonts w:ascii="Times New Roman" w:hAnsi="Times New Roman" w:cs="Times New Roman"/>
                <w:sz w:val="24"/>
                <w:szCs w:val="24"/>
              </w:rPr>
              <w:t>0.1</w:t>
            </w:r>
            <w:r w:rsidRPr="00C90DE6">
              <w:rPr>
                <w:rFonts w:ascii="Times New Roman" w:hAnsi="Times New Roman" w:cs="Times New Roman"/>
              </w:rPr>
              <w:t>/0.5</w:t>
            </w:r>
          </w:p>
        </w:tc>
        <w:tc>
          <w:tcPr>
            <w:tcW w:w="1537" w:type="dxa"/>
          </w:tcPr>
          <w:p w14:paraId="3DB420F5" w14:textId="0E91E746" w:rsidR="00A74A4A" w:rsidRPr="00C90DE6" w:rsidRDefault="00C90DE6" w:rsidP="001130F4">
            <w:pPr>
              <w:spacing w:line="360" w:lineRule="auto"/>
              <w:jc w:val="both"/>
              <w:rPr>
                <w:rFonts w:ascii="Times New Roman" w:hAnsi="Times New Roman" w:cs="Times New Roman"/>
              </w:rPr>
            </w:pPr>
            <w:r w:rsidRPr="00C90DE6">
              <w:rPr>
                <w:rFonts w:ascii="Times New Roman" w:hAnsi="Times New Roman" w:cs="Times New Roman"/>
              </w:rPr>
              <w:t>0.7</w:t>
            </w:r>
          </w:p>
        </w:tc>
        <w:tc>
          <w:tcPr>
            <w:tcW w:w="2091" w:type="dxa"/>
          </w:tcPr>
          <w:p w14:paraId="4261235B" w14:textId="38872042" w:rsidR="00A74A4A" w:rsidRPr="00C90DE6" w:rsidRDefault="00C90DE6" w:rsidP="001130F4">
            <w:pPr>
              <w:spacing w:line="360" w:lineRule="auto"/>
              <w:jc w:val="both"/>
              <w:rPr>
                <w:rFonts w:ascii="Times New Roman" w:hAnsi="Times New Roman" w:cs="Times New Roman"/>
              </w:rPr>
            </w:pPr>
            <w:r w:rsidRPr="00C90DE6">
              <w:rPr>
                <w:rFonts w:ascii="Times New Roman" w:hAnsi="Times New Roman" w:cs="Times New Roman"/>
              </w:rPr>
              <w:t>Partially Synergism</w:t>
            </w:r>
          </w:p>
        </w:tc>
      </w:tr>
      <w:tr w:rsidR="00A74A4A" w14:paraId="14A1318A" w14:textId="77777777" w:rsidTr="006A37A0">
        <w:tc>
          <w:tcPr>
            <w:tcW w:w="1954" w:type="dxa"/>
          </w:tcPr>
          <w:p w14:paraId="54D8EA26" w14:textId="3FBE9BA7" w:rsidR="00A74A4A" w:rsidRPr="00521939" w:rsidRDefault="00A74A4A" w:rsidP="001130F4">
            <w:pPr>
              <w:spacing w:line="360" w:lineRule="auto"/>
              <w:jc w:val="both"/>
              <w:rPr>
                <w:rFonts w:ascii="Times New Roman" w:hAnsi="Times New Roman" w:cs="Times New Roman"/>
              </w:rPr>
            </w:pPr>
            <w:r w:rsidRPr="00521939">
              <w:rPr>
                <w:rFonts w:ascii="Times New Roman" w:hAnsi="Times New Roman" w:cs="Times New Roman"/>
              </w:rPr>
              <w:t>DL25-AMK</w:t>
            </w:r>
          </w:p>
        </w:tc>
        <w:tc>
          <w:tcPr>
            <w:tcW w:w="1524" w:type="dxa"/>
          </w:tcPr>
          <w:p w14:paraId="1CA2AA32" w14:textId="5ADFAFA8" w:rsidR="00A74A4A" w:rsidRPr="00521939" w:rsidRDefault="00AE4E26" w:rsidP="001130F4">
            <w:pPr>
              <w:spacing w:line="360" w:lineRule="auto"/>
              <w:jc w:val="both"/>
              <w:rPr>
                <w:rFonts w:ascii="Times New Roman" w:hAnsi="Times New Roman" w:cs="Times New Roman"/>
              </w:rPr>
            </w:pPr>
            <w:r w:rsidRPr="00521939">
              <w:rPr>
                <w:rFonts w:ascii="Times New Roman" w:hAnsi="Times New Roman" w:cs="Times New Roman"/>
              </w:rPr>
              <w:t>2</w:t>
            </w:r>
            <w:r w:rsidR="006C6DDD" w:rsidRPr="00521939">
              <w:rPr>
                <w:rFonts w:ascii="Times New Roman" w:hAnsi="Times New Roman" w:cs="Times New Roman"/>
              </w:rPr>
              <w:t>/</w:t>
            </w:r>
            <w:r w:rsidR="004810B2" w:rsidRPr="00521939">
              <w:rPr>
                <w:rFonts w:ascii="Times New Roman" w:hAnsi="Times New Roman" w:cs="Times New Roman"/>
              </w:rPr>
              <w:t>4</w:t>
            </w:r>
          </w:p>
        </w:tc>
        <w:tc>
          <w:tcPr>
            <w:tcW w:w="1910" w:type="dxa"/>
          </w:tcPr>
          <w:p w14:paraId="209B8B53" w14:textId="5ACA8B86" w:rsidR="00A74A4A" w:rsidRPr="00521939" w:rsidRDefault="00AE4E26" w:rsidP="00BF7792">
            <w:pPr>
              <w:spacing w:line="360" w:lineRule="auto"/>
              <w:jc w:val="both"/>
              <w:rPr>
                <w:rFonts w:ascii="Times New Roman" w:hAnsi="Times New Roman" w:cs="Times New Roman"/>
              </w:rPr>
            </w:pPr>
            <w:r w:rsidRPr="00521939">
              <w:rPr>
                <w:rFonts w:ascii="Times New Roman" w:hAnsi="Times New Roman" w:cs="Times New Roman"/>
              </w:rPr>
              <w:t>0</w:t>
            </w:r>
            <w:r w:rsidR="006C6DDD" w:rsidRPr="00521939">
              <w:rPr>
                <w:rFonts w:ascii="Times New Roman" w:hAnsi="Times New Roman" w:cs="Times New Roman"/>
              </w:rPr>
              <w:t>.5/</w:t>
            </w:r>
            <w:r w:rsidRPr="00521939">
              <w:rPr>
                <w:rFonts w:ascii="Times New Roman" w:hAnsi="Times New Roman" w:cs="Times New Roman"/>
              </w:rPr>
              <w:t>0.</w:t>
            </w:r>
            <w:r w:rsidR="00BF7792" w:rsidRPr="00521939">
              <w:rPr>
                <w:rFonts w:ascii="Times New Roman" w:hAnsi="Times New Roman" w:cs="Times New Roman"/>
              </w:rPr>
              <w:t>5</w:t>
            </w:r>
          </w:p>
        </w:tc>
        <w:tc>
          <w:tcPr>
            <w:tcW w:w="1537" w:type="dxa"/>
          </w:tcPr>
          <w:p w14:paraId="0A3CA8A0" w14:textId="31B2A9CB" w:rsidR="00A74A4A" w:rsidRPr="00521939" w:rsidRDefault="00AE4E26" w:rsidP="001130F4">
            <w:pPr>
              <w:spacing w:line="360" w:lineRule="auto"/>
              <w:jc w:val="both"/>
              <w:rPr>
                <w:rFonts w:ascii="Times New Roman" w:hAnsi="Times New Roman" w:cs="Times New Roman"/>
              </w:rPr>
            </w:pPr>
            <w:r w:rsidRPr="00521939">
              <w:rPr>
                <w:rFonts w:ascii="Times New Roman" w:hAnsi="Times New Roman" w:cs="Times New Roman"/>
              </w:rPr>
              <w:t>1</w:t>
            </w:r>
            <w:r w:rsidR="00194DD0" w:rsidRPr="00521939">
              <w:rPr>
                <w:rFonts w:ascii="Times New Roman" w:hAnsi="Times New Roman" w:cs="Times New Roman"/>
              </w:rPr>
              <w:t>.</w:t>
            </w:r>
            <w:r w:rsidR="00A5324A" w:rsidRPr="00521939">
              <w:rPr>
                <w:rFonts w:ascii="Times New Roman" w:hAnsi="Times New Roman" w:cs="Times New Roman"/>
              </w:rPr>
              <w:t>5</w:t>
            </w:r>
          </w:p>
        </w:tc>
        <w:tc>
          <w:tcPr>
            <w:tcW w:w="2091" w:type="dxa"/>
          </w:tcPr>
          <w:p w14:paraId="541DC1D0" w14:textId="6B1FC925" w:rsidR="00A74A4A" w:rsidRPr="00521939" w:rsidRDefault="00AE4E26" w:rsidP="001130F4">
            <w:pPr>
              <w:spacing w:line="360" w:lineRule="auto"/>
              <w:jc w:val="both"/>
              <w:rPr>
                <w:rFonts w:ascii="Times New Roman" w:hAnsi="Times New Roman" w:cs="Times New Roman"/>
              </w:rPr>
            </w:pPr>
            <w:r w:rsidRPr="00521939">
              <w:rPr>
                <w:rFonts w:ascii="Times New Roman" w:hAnsi="Times New Roman" w:cs="Times New Roman"/>
              </w:rPr>
              <w:t>Indifferent</w:t>
            </w:r>
          </w:p>
        </w:tc>
      </w:tr>
      <w:tr w:rsidR="00A74A4A" w14:paraId="757F3D75" w14:textId="77777777" w:rsidTr="006A37A0">
        <w:tc>
          <w:tcPr>
            <w:tcW w:w="1954" w:type="dxa"/>
          </w:tcPr>
          <w:p w14:paraId="06F640F8" w14:textId="1BB4B59F" w:rsidR="00A74A4A" w:rsidRPr="00521939" w:rsidRDefault="00A74A4A" w:rsidP="001130F4">
            <w:pPr>
              <w:spacing w:line="360" w:lineRule="auto"/>
              <w:jc w:val="both"/>
              <w:rPr>
                <w:rFonts w:ascii="Times New Roman" w:hAnsi="Times New Roman" w:cs="Times New Roman"/>
              </w:rPr>
            </w:pPr>
            <w:r w:rsidRPr="00521939">
              <w:rPr>
                <w:rFonts w:ascii="Times New Roman" w:hAnsi="Times New Roman" w:cs="Times New Roman"/>
              </w:rPr>
              <w:lastRenderedPageBreak/>
              <w:t>DL25-</w:t>
            </w:r>
            <w:bookmarkStart w:id="3" w:name="_Hlk165753717"/>
            <w:r w:rsidRPr="00521939">
              <w:rPr>
                <w:rFonts w:ascii="Times New Roman" w:hAnsi="Times New Roman" w:cs="Times New Roman"/>
              </w:rPr>
              <w:t>L</w:t>
            </w:r>
            <w:bookmarkEnd w:id="3"/>
            <w:r w:rsidR="0080125B">
              <w:rPr>
                <w:rFonts w:ascii="Times New Roman" w:hAnsi="Times New Roman" w:cs="Times New Roman"/>
              </w:rPr>
              <w:t>VF</w:t>
            </w:r>
          </w:p>
        </w:tc>
        <w:tc>
          <w:tcPr>
            <w:tcW w:w="1524" w:type="dxa"/>
          </w:tcPr>
          <w:p w14:paraId="5AD8024A" w14:textId="0D778DDE" w:rsidR="00A74A4A" w:rsidRPr="00521939" w:rsidRDefault="0007653C" w:rsidP="001130F4">
            <w:pPr>
              <w:spacing w:line="360" w:lineRule="auto"/>
              <w:jc w:val="both"/>
              <w:rPr>
                <w:rFonts w:ascii="Times New Roman" w:hAnsi="Times New Roman" w:cs="Times New Roman"/>
              </w:rPr>
            </w:pPr>
            <w:r w:rsidRPr="00521939">
              <w:rPr>
                <w:rFonts w:ascii="Times New Roman" w:hAnsi="Times New Roman" w:cs="Times New Roman"/>
              </w:rPr>
              <w:t>2</w:t>
            </w:r>
            <w:r w:rsidR="00F34387" w:rsidRPr="00521939">
              <w:rPr>
                <w:rFonts w:ascii="Times New Roman" w:hAnsi="Times New Roman" w:cs="Times New Roman"/>
              </w:rPr>
              <w:t>/</w:t>
            </w:r>
            <w:r w:rsidRPr="00521939">
              <w:rPr>
                <w:rFonts w:ascii="Times New Roman" w:hAnsi="Times New Roman" w:cs="Times New Roman"/>
              </w:rPr>
              <w:t>4</w:t>
            </w:r>
          </w:p>
        </w:tc>
        <w:tc>
          <w:tcPr>
            <w:tcW w:w="1910" w:type="dxa"/>
          </w:tcPr>
          <w:p w14:paraId="302728A9" w14:textId="3EF1B983" w:rsidR="00A74A4A" w:rsidRPr="00521939" w:rsidRDefault="00A46971" w:rsidP="001130F4">
            <w:pPr>
              <w:spacing w:line="360" w:lineRule="auto"/>
              <w:jc w:val="both"/>
              <w:rPr>
                <w:rFonts w:ascii="Times New Roman" w:hAnsi="Times New Roman" w:cs="Times New Roman"/>
              </w:rPr>
            </w:pPr>
            <w:r w:rsidRPr="00521939">
              <w:rPr>
                <w:rFonts w:ascii="Times New Roman" w:hAnsi="Times New Roman" w:cs="Times New Roman"/>
              </w:rPr>
              <w:t>0.125</w:t>
            </w:r>
            <w:r w:rsidR="00F34387" w:rsidRPr="00521939">
              <w:rPr>
                <w:rFonts w:ascii="Times New Roman" w:hAnsi="Times New Roman" w:cs="Times New Roman"/>
              </w:rPr>
              <w:t>/</w:t>
            </w:r>
            <w:r w:rsidR="0007653C" w:rsidRPr="00521939">
              <w:rPr>
                <w:rFonts w:ascii="Times New Roman" w:hAnsi="Times New Roman" w:cs="Times New Roman"/>
              </w:rPr>
              <w:t>0.25</w:t>
            </w:r>
          </w:p>
        </w:tc>
        <w:tc>
          <w:tcPr>
            <w:tcW w:w="1537" w:type="dxa"/>
          </w:tcPr>
          <w:p w14:paraId="694FA892" w14:textId="2D3863EA" w:rsidR="00A74A4A" w:rsidRPr="00521939" w:rsidRDefault="0007653C" w:rsidP="001130F4">
            <w:pPr>
              <w:spacing w:line="360" w:lineRule="auto"/>
              <w:jc w:val="both"/>
              <w:rPr>
                <w:rFonts w:ascii="Times New Roman" w:hAnsi="Times New Roman" w:cs="Times New Roman"/>
              </w:rPr>
            </w:pPr>
            <w:r w:rsidRPr="00521939">
              <w:rPr>
                <w:rFonts w:ascii="Times New Roman" w:hAnsi="Times New Roman" w:cs="Times New Roman"/>
              </w:rPr>
              <w:t>1</w:t>
            </w:r>
            <w:r w:rsidR="00194DD0" w:rsidRPr="00521939">
              <w:rPr>
                <w:rFonts w:ascii="Times New Roman" w:hAnsi="Times New Roman" w:cs="Times New Roman"/>
              </w:rPr>
              <w:t>.</w:t>
            </w:r>
            <w:r w:rsidR="00A46971" w:rsidRPr="00521939">
              <w:rPr>
                <w:rFonts w:ascii="Times New Roman" w:hAnsi="Times New Roman" w:cs="Times New Roman"/>
              </w:rPr>
              <w:t>0</w:t>
            </w:r>
          </w:p>
        </w:tc>
        <w:tc>
          <w:tcPr>
            <w:tcW w:w="2091" w:type="dxa"/>
          </w:tcPr>
          <w:p w14:paraId="3002C653" w14:textId="1FFBC0AE" w:rsidR="00A74A4A" w:rsidRPr="00521939" w:rsidRDefault="0007653C" w:rsidP="001130F4">
            <w:pPr>
              <w:spacing w:line="360" w:lineRule="auto"/>
              <w:jc w:val="both"/>
              <w:rPr>
                <w:rFonts w:ascii="Times New Roman" w:hAnsi="Times New Roman" w:cs="Times New Roman"/>
              </w:rPr>
            </w:pPr>
            <w:r w:rsidRPr="00521939">
              <w:rPr>
                <w:rFonts w:ascii="Times New Roman" w:hAnsi="Times New Roman" w:cs="Times New Roman"/>
              </w:rPr>
              <w:t>Indifferent</w:t>
            </w:r>
          </w:p>
        </w:tc>
      </w:tr>
      <w:tr w:rsidR="00A90271" w14:paraId="465AB787" w14:textId="77777777" w:rsidTr="006A37A0">
        <w:tc>
          <w:tcPr>
            <w:tcW w:w="1954" w:type="dxa"/>
          </w:tcPr>
          <w:p w14:paraId="2D65B382" w14:textId="320BA8FA" w:rsidR="00A90271" w:rsidRPr="00521939" w:rsidRDefault="00A90271" w:rsidP="00A90271">
            <w:pPr>
              <w:spacing w:line="360" w:lineRule="auto"/>
              <w:jc w:val="both"/>
              <w:rPr>
                <w:rFonts w:ascii="Times New Roman" w:hAnsi="Times New Roman" w:cs="Times New Roman"/>
              </w:rPr>
            </w:pPr>
            <w:r w:rsidRPr="00521939">
              <w:rPr>
                <w:rFonts w:ascii="Times New Roman" w:hAnsi="Times New Roman" w:cs="Times New Roman"/>
              </w:rPr>
              <w:t>DL25-LZD</w:t>
            </w:r>
          </w:p>
        </w:tc>
        <w:tc>
          <w:tcPr>
            <w:tcW w:w="1524" w:type="dxa"/>
          </w:tcPr>
          <w:p w14:paraId="4FAD3D6A" w14:textId="74DDFA18" w:rsidR="00A90271" w:rsidRPr="00521939" w:rsidRDefault="00DD477D" w:rsidP="00A90271">
            <w:pPr>
              <w:spacing w:line="360" w:lineRule="auto"/>
              <w:jc w:val="both"/>
              <w:rPr>
                <w:rFonts w:ascii="Times New Roman" w:hAnsi="Times New Roman" w:cs="Times New Roman"/>
              </w:rPr>
            </w:pPr>
            <w:r w:rsidRPr="00521939">
              <w:rPr>
                <w:rFonts w:ascii="Times New Roman" w:hAnsi="Times New Roman" w:cs="Times New Roman"/>
              </w:rPr>
              <w:t>1</w:t>
            </w:r>
            <w:r w:rsidR="00A90271" w:rsidRPr="00521939">
              <w:rPr>
                <w:rFonts w:ascii="Times New Roman" w:hAnsi="Times New Roman" w:cs="Times New Roman"/>
              </w:rPr>
              <w:t>/4</w:t>
            </w:r>
          </w:p>
        </w:tc>
        <w:tc>
          <w:tcPr>
            <w:tcW w:w="1910" w:type="dxa"/>
          </w:tcPr>
          <w:p w14:paraId="31A43B66" w14:textId="0CB77EB2" w:rsidR="00A90271" w:rsidRPr="00521939" w:rsidRDefault="00A90271" w:rsidP="00A90271">
            <w:pPr>
              <w:spacing w:line="360" w:lineRule="auto"/>
              <w:jc w:val="both"/>
              <w:rPr>
                <w:rFonts w:ascii="Times New Roman" w:hAnsi="Times New Roman" w:cs="Times New Roman"/>
              </w:rPr>
            </w:pPr>
            <w:r w:rsidRPr="00521939">
              <w:rPr>
                <w:rFonts w:ascii="Times New Roman" w:hAnsi="Times New Roman" w:cs="Times New Roman"/>
              </w:rPr>
              <w:t>1/</w:t>
            </w:r>
            <w:r w:rsidR="00DD477D" w:rsidRPr="00521939">
              <w:rPr>
                <w:rFonts w:ascii="Times New Roman" w:hAnsi="Times New Roman" w:cs="Times New Roman"/>
              </w:rPr>
              <w:t>2</w:t>
            </w:r>
          </w:p>
        </w:tc>
        <w:tc>
          <w:tcPr>
            <w:tcW w:w="1537" w:type="dxa"/>
          </w:tcPr>
          <w:p w14:paraId="0487823D" w14:textId="161BAD5A" w:rsidR="00A90271" w:rsidRPr="00521939" w:rsidRDefault="00DD477D" w:rsidP="00A90271">
            <w:pPr>
              <w:spacing w:line="360" w:lineRule="auto"/>
              <w:jc w:val="both"/>
              <w:rPr>
                <w:rFonts w:ascii="Times New Roman" w:hAnsi="Times New Roman" w:cs="Times New Roman"/>
              </w:rPr>
            </w:pPr>
            <w:r w:rsidRPr="00521939">
              <w:rPr>
                <w:rFonts w:ascii="Times New Roman" w:hAnsi="Times New Roman" w:cs="Times New Roman"/>
              </w:rPr>
              <w:t>0</w:t>
            </w:r>
            <w:r w:rsidR="00A90271" w:rsidRPr="00521939">
              <w:rPr>
                <w:rFonts w:ascii="Times New Roman" w:hAnsi="Times New Roman" w:cs="Times New Roman"/>
              </w:rPr>
              <w:t>.</w:t>
            </w:r>
            <w:r w:rsidRPr="00521939">
              <w:rPr>
                <w:rFonts w:ascii="Times New Roman" w:hAnsi="Times New Roman" w:cs="Times New Roman"/>
              </w:rPr>
              <w:t>7</w:t>
            </w:r>
            <w:r w:rsidR="00A90271" w:rsidRPr="00521939">
              <w:rPr>
                <w:rFonts w:ascii="Times New Roman" w:hAnsi="Times New Roman" w:cs="Times New Roman"/>
              </w:rPr>
              <w:t>5</w:t>
            </w:r>
          </w:p>
        </w:tc>
        <w:tc>
          <w:tcPr>
            <w:tcW w:w="2091" w:type="dxa"/>
          </w:tcPr>
          <w:p w14:paraId="5D9C0AE4" w14:textId="262A1A8B" w:rsidR="00A90271" w:rsidRPr="00521939" w:rsidRDefault="00DD477D" w:rsidP="00A90271">
            <w:pPr>
              <w:spacing w:line="360" w:lineRule="auto"/>
              <w:jc w:val="both"/>
              <w:rPr>
                <w:rFonts w:ascii="Times New Roman" w:hAnsi="Times New Roman" w:cs="Times New Roman"/>
              </w:rPr>
            </w:pPr>
            <w:r w:rsidRPr="00521939">
              <w:rPr>
                <w:rFonts w:ascii="Times New Roman" w:hAnsi="Times New Roman" w:cs="Times New Roman"/>
              </w:rPr>
              <w:t>Partially Synergism</w:t>
            </w:r>
          </w:p>
        </w:tc>
      </w:tr>
      <w:tr w:rsidR="00DD477D" w14:paraId="632A0D7B" w14:textId="77777777" w:rsidTr="006A37A0">
        <w:tc>
          <w:tcPr>
            <w:tcW w:w="1954" w:type="dxa"/>
          </w:tcPr>
          <w:p w14:paraId="601907AB" w14:textId="46098C55"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DL25-</w:t>
            </w:r>
            <w:bookmarkStart w:id="4" w:name="_Hlk165753703"/>
            <w:r w:rsidRPr="00521939">
              <w:rPr>
                <w:rFonts w:ascii="Times New Roman" w:hAnsi="Times New Roman" w:cs="Times New Roman"/>
              </w:rPr>
              <w:t>BDQ</w:t>
            </w:r>
            <w:bookmarkEnd w:id="4"/>
          </w:p>
        </w:tc>
        <w:tc>
          <w:tcPr>
            <w:tcW w:w="1524" w:type="dxa"/>
          </w:tcPr>
          <w:p w14:paraId="3B4819DE" w14:textId="0D50D347"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1/4</w:t>
            </w:r>
          </w:p>
        </w:tc>
        <w:tc>
          <w:tcPr>
            <w:tcW w:w="1910" w:type="dxa"/>
          </w:tcPr>
          <w:p w14:paraId="58151EF5" w14:textId="239B60F2"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0.125/0.25</w:t>
            </w:r>
          </w:p>
        </w:tc>
        <w:tc>
          <w:tcPr>
            <w:tcW w:w="1537" w:type="dxa"/>
          </w:tcPr>
          <w:p w14:paraId="3D517785" w14:textId="303CB955"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0.75</w:t>
            </w:r>
          </w:p>
        </w:tc>
        <w:tc>
          <w:tcPr>
            <w:tcW w:w="2091" w:type="dxa"/>
          </w:tcPr>
          <w:p w14:paraId="7962ECF9" w14:textId="09FD400F"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Partially Synergism</w:t>
            </w:r>
          </w:p>
        </w:tc>
      </w:tr>
      <w:tr w:rsidR="00DD477D" w14:paraId="4D73E14F" w14:textId="77777777" w:rsidTr="006A37A0">
        <w:tc>
          <w:tcPr>
            <w:tcW w:w="1954" w:type="dxa"/>
          </w:tcPr>
          <w:p w14:paraId="3B320DCF" w14:textId="0E3B1934"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DL25-PAS</w:t>
            </w:r>
          </w:p>
        </w:tc>
        <w:tc>
          <w:tcPr>
            <w:tcW w:w="1524" w:type="dxa"/>
          </w:tcPr>
          <w:p w14:paraId="0A487FC4" w14:textId="68E301CC"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2/4</w:t>
            </w:r>
          </w:p>
        </w:tc>
        <w:tc>
          <w:tcPr>
            <w:tcW w:w="1910" w:type="dxa"/>
          </w:tcPr>
          <w:p w14:paraId="1A5A3335" w14:textId="49A705AC" w:rsidR="00DD477D" w:rsidRPr="00521939" w:rsidRDefault="002C27D1" w:rsidP="00DD477D">
            <w:pPr>
              <w:spacing w:line="360" w:lineRule="auto"/>
              <w:jc w:val="both"/>
              <w:rPr>
                <w:rFonts w:ascii="Times New Roman" w:hAnsi="Times New Roman" w:cs="Times New Roman"/>
              </w:rPr>
            </w:pPr>
            <w:r w:rsidRPr="00521939">
              <w:rPr>
                <w:rFonts w:ascii="Times New Roman" w:hAnsi="Times New Roman" w:cs="Times New Roman"/>
              </w:rPr>
              <w:t>0.25</w:t>
            </w:r>
            <w:r w:rsidR="00DD477D" w:rsidRPr="00521939">
              <w:rPr>
                <w:rFonts w:ascii="Times New Roman" w:hAnsi="Times New Roman" w:cs="Times New Roman"/>
              </w:rPr>
              <w:t>/</w:t>
            </w:r>
            <w:r w:rsidRPr="00521939">
              <w:rPr>
                <w:rFonts w:ascii="Times New Roman" w:hAnsi="Times New Roman" w:cs="Times New Roman"/>
              </w:rPr>
              <w:t>0.5</w:t>
            </w:r>
          </w:p>
        </w:tc>
        <w:tc>
          <w:tcPr>
            <w:tcW w:w="1537" w:type="dxa"/>
          </w:tcPr>
          <w:p w14:paraId="116B4A27" w14:textId="58CFB271" w:rsidR="00DD477D" w:rsidRPr="00521939" w:rsidRDefault="002C27D1" w:rsidP="00DD477D">
            <w:pPr>
              <w:spacing w:line="360" w:lineRule="auto"/>
              <w:jc w:val="both"/>
              <w:rPr>
                <w:rFonts w:ascii="Times New Roman" w:hAnsi="Times New Roman" w:cs="Times New Roman"/>
              </w:rPr>
            </w:pPr>
            <w:r w:rsidRPr="00521939">
              <w:rPr>
                <w:rFonts w:ascii="Times New Roman" w:hAnsi="Times New Roman" w:cs="Times New Roman"/>
              </w:rPr>
              <w:t>1.0</w:t>
            </w:r>
          </w:p>
        </w:tc>
        <w:tc>
          <w:tcPr>
            <w:tcW w:w="2091" w:type="dxa"/>
          </w:tcPr>
          <w:p w14:paraId="5C088219" w14:textId="76D855FF" w:rsidR="00DD477D" w:rsidRPr="00521939" w:rsidRDefault="002C27D1" w:rsidP="00DD477D">
            <w:pPr>
              <w:spacing w:line="360" w:lineRule="auto"/>
              <w:jc w:val="both"/>
              <w:rPr>
                <w:rFonts w:ascii="Times New Roman" w:hAnsi="Times New Roman" w:cs="Times New Roman"/>
              </w:rPr>
            </w:pPr>
            <w:r w:rsidRPr="00521939">
              <w:rPr>
                <w:rFonts w:ascii="Times New Roman" w:hAnsi="Times New Roman" w:cs="Times New Roman"/>
              </w:rPr>
              <w:t>Indifferent</w:t>
            </w:r>
          </w:p>
        </w:tc>
      </w:tr>
      <w:tr w:rsidR="00DD477D" w14:paraId="44B3A37D" w14:textId="77777777" w:rsidTr="006A37A0">
        <w:tc>
          <w:tcPr>
            <w:tcW w:w="1954" w:type="dxa"/>
          </w:tcPr>
          <w:p w14:paraId="6020A14A" w14:textId="0151311F"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DL25-</w:t>
            </w:r>
            <w:bookmarkStart w:id="5" w:name="_Hlk165753737"/>
            <w:r w:rsidRPr="00521939">
              <w:rPr>
                <w:rFonts w:ascii="Times New Roman" w:hAnsi="Times New Roman" w:cs="Times New Roman"/>
              </w:rPr>
              <w:t>INH</w:t>
            </w:r>
            <w:bookmarkEnd w:id="5"/>
          </w:p>
        </w:tc>
        <w:tc>
          <w:tcPr>
            <w:tcW w:w="1524" w:type="dxa"/>
          </w:tcPr>
          <w:p w14:paraId="5ED87703" w14:textId="626C632A"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2/4</w:t>
            </w:r>
          </w:p>
        </w:tc>
        <w:tc>
          <w:tcPr>
            <w:tcW w:w="1910" w:type="dxa"/>
          </w:tcPr>
          <w:p w14:paraId="315A93D8" w14:textId="4F22970A" w:rsidR="00DD477D" w:rsidRPr="00521939" w:rsidRDefault="005769EF" w:rsidP="00DD477D">
            <w:pPr>
              <w:spacing w:line="360" w:lineRule="auto"/>
              <w:jc w:val="both"/>
              <w:rPr>
                <w:rFonts w:ascii="Times New Roman" w:hAnsi="Times New Roman" w:cs="Times New Roman"/>
              </w:rPr>
            </w:pPr>
            <w:r w:rsidRPr="00521939">
              <w:rPr>
                <w:rFonts w:ascii="Times New Roman" w:hAnsi="Times New Roman" w:cs="Times New Roman"/>
              </w:rPr>
              <w:t>0.625</w:t>
            </w:r>
            <w:r w:rsidR="00DD477D" w:rsidRPr="00521939">
              <w:rPr>
                <w:rFonts w:ascii="Times New Roman" w:hAnsi="Times New Roman" w:cs="Times New Roman"/>
              </w:rPr>
              <w:t>/</w:t>
            </w:r>
            <w:r w:rsidRPr="00521939">
              <w:rPr>
                <w:rFonts w:ascii="Times New Roman" w:hAnsi="Times New Roman" w:cs="Times New Roman"/>
              </w:rPr>
              <w:t>1.25</w:t>
            </w:r>
          </w:p>
        </w:tc>
        <w:tc>
          <w:tcPr>
            <w:tcW w:w="1537" w:type="dxa"/>
          </w:tcPr>
          <w:p w14:paraId="7AE69291" w14:textId="64ECBA9A"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1.</w:t>
            </w:r>
            <w:r w:rsidR="005769EF" w:rsidRPr="00521939">
              <w:rPr>
                <w:rFonts w:ascii="Times New Roman" w:hAnsi="Times New Roman" w:cs="Times New Roman"/>
              </w:rPr>
              <w:t>0</w:t>
            </w:r>
          </w:p>
        </w:tc>
        <w:tc>
          <w:tcPr>
            <w:tcW w:w="2091" w:type="dxa"/>
          </w:tcPr>
          <w:p w14:paraId="7A91C15A" w14:textId="59C15F2C"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Indifferent</w:t>
            </w:r>
          </w:p>
        </w:tc>
      </w:tr>
      <w:tr w:rsidR="00DD477D" w14:paraId="01E9DE74" w14:textId="77777777" w:rsidTr="006A37A0">
        <w:tc>
          <w:tcPr>
            <w:tcW w:w="1954" w:type="dxa"/>
          </w:tcPr>
          <w:p w14:paraId="2DBDAAF0" w14:textId="07C5954A"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DL25-ETH</w:t>
            </w:r>
          </w:p>
        </w:tc>
        <w:tc>
          <w:tcPr>
            <w:tcW w:w="1524" w:type="dxa"/>
          </w:tcPr>
          <w:p w14:paraId="605374D4" w14:textId="7C7197A5"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2/4</w:t>
            </w:r>
          </w:p>
        </w:tc>
        <w:tc>
          <w:tcPr>
            <w:tcW w:w="1910" w:type="dxa"/>
          </w:tcPr>
          <w:p w14:paraId="7CB5D954" w14:textId="095075A2"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0.5/4</w:t>
            </w:r>
          </w:p>
        </w:tc>
        <w:tc>
          <w:tcPr>
            <w:tcW w:w="1537" w:type="dxa"/>
          </w:tcPr>
          <w:p w14:paraId="675F766E" w14:textId="400C8EF2"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0.625</w:t>
            </w:r>
          </w:p>
        </w:tc>
        <w:tc>
          <w:tcPr>
            <w:tcW w:w="2091" w:type="dxa"/>
          </w:tcPr>
          <w:p w14:paraId="544F512C" w14:textId="02FADEAF"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Partially Synergism</w:t>
            </w:r>
          </w:p>
        </w:tc>
      </w:tr>
      <w:tr w:rsidR="00DD477D" w14:paraId="7DCB286D" w14:textId="77777777" w:rsidTr="006A37A0">
        <w:tc>
          <w:tcPr>
            <w:tcW w:w="1954" w:type="dxa"/>
          </w:tcPr>
          <w:p w14:paraId="04B16655" w14:textId="50595B7B"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DL25-</w:t>
            </w:r>
            <w:bookmarkStart w:id="6" w:name="_Hlk165753759"/>
            <w:r w:rsidRPr="00521939">
              <w:rPr>
                <w:rFonts w:ascii="Times New Roman" w:hAnsi="Times New Roman" w:cs="Times New Roman"/>
              </w:rPr>
              <w:t>Cla</w:t>
            </w:r>
            <w:bookmarkEnd w:id="6"/>
          </w:p>
        </w:tc>
        <w:tc>
          <w:tcPr>
            <w:tcW w:w="1524" w:type="dxa"/>
          </w:tcPr>
          <w:p w14:paraId="24AF80AE" w14:textId="64022273"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2/4</w:t>
            </w:r>
          </w:p>
        </w:tc>
        <w:tc>
          <w:tcPr>
            <w:tcW w:w="1910" w:type="dxa"/>
          </w:tcPr>
          <w:p w14:paraId="7BE856B8" w14:textId="4A7FDE15"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0.25/0.5</w:t>
            </w:r>
          </w:p>
        </w:tc>
        <w:tc>
          <w:tcPr>
            <w:tcW w:w="1537" w:type="dxa"/>
          </w:tcPr>
          <w:p w14:paraId="1B53C3F0" w14:textId="3C7F1D6B"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1.0</w:t>
            </w:r>
          </w:p>
        </w:tc>
        <w:tc>
          <w:tcPr>
            <w:tcW w:w="2091" w:type="dxa"/>
          </w:tcPr>
          <w:p w14:paraId="779081A9" w14:textId="349C1F58" w:rsidR="00DD477D" w:rsidRPr="00521939" w:rsidRDefault="00DD477D" w:rsidP="00DD477D">
            <w:pPr>
              <w:spacing w:line="360" w:lineRule="auto"/>
              <w:jc w:val="both"/>
              <w:rPr>
                <w:rFonts w:ascii="Times New Roman" w:hAnsi="Times New Roman" w:cs="Times New Roman"/>
              </w:rPr>
            </w:pPr>
            <w:r w:rsidRPr="00521939">
              <w:rPr>
                <w:rFonts w:ascii="Times New Roman" w:hAnsi="Times New Roman" w:cs="Times New Roman"/>
              </w:rPr>
              <w:t>Indifferent</w:t>
            </w:r>
          </w:p>
        </w:tc>
      </w:tr>
    </w:tbl>
    <w:p w14:paraId="477D8BEF" w14:textId="77777777" w:rsidR="00C115BC" w:rsidRDefault="00C115BC" w:rsidP="00F558C7">
      <w:pPr>
        <w:spacing w:line="360" w:lineRule="auto"/>
        <w:jc w:val="center"/>
        <w:rPr>
          <w:rFonts w:ascii="Times New Roman" w:hAnsi="Times New Roman" w:cs="Times New Roman"/>
          <w:b/>
          <w:bCs/>
          <w:sz w:val="24"/>
          <w:szCs w:val="24"/>
        </w:rPr>
      </w:pPr>
    </w:p>
    <w:p w14:paraId="183FB70D" w14:textId="616A564C" w:rsidR="00F558C7" w:rsidRDefault="00C10F05" w:rsidP="00F558C7">
      <w:pPr>
        <w:spacing w:line="360" w:lineRule="auto"/>
        <w:jc w:val="center"/>
        <w:rPr>
          <w:rFonts w:ascii="Times New Roman" w:hAnsi="Times New Roman" w:cs="Times New Roman"/>
          <w:b/>
          <w:bCs/>
          <w:sz w:val="24"/>
          <w:szCs w:val="24"/>
        </w:rPr>
      </w:pPr>
      <w:r>
        <w:rPr>
          <w:noProof/>
        </w:rPr>
        <w:drawing>
          <wp:inline distT="0" distB="0" distL="0" distR="0" wp14:anchorId="7BE94974" wp14:editId="238FED3F">
            <wp:extent cx="5486400" cy="2834640"/>
            <wp:effectExtent l="0" t="0" r="0" b="3810"/>
            <wp:docPr id="2" name="Chart 2">
              <a:extLst xmlns:a="http://schemas.openxmlformats.org/drawingml/2006/main">
                <a:ext uri="{FF2B5EF4-FFF2-40B4-BE49-F238E27FC236}">
                  <a16:creationId xmlns:a16="http://schemas.microsoft.com/office/drawing/2014/main" id="{46461505-6D3C-4F0B-AD19-19C6652A5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C079A6" w14:textId="11AC2637" w:rsidR="00DC3C30" w:rsidRDefault="00ED783C" w:rsidP="00C115BC">
      <w:pPr>
        <w:spacing w:line="360" w:lineRule="auto"/>
        <w:jc w:val="both"/>
        <w:rPr>
          <w:rFonts w:ascii="Times New Roman" w:hAnsi="Times New Roman" w:cs="Times New Roman"/>
          <w:sz w:val="24"/>
          <w:szCs w:val="24"/>
        </w:rPr>
      </w:pPr>
      <w:r w:rsidRPr="00A86089">
        <w:rPr>
          <w:rFonts w:ascii="Times New Roman" w:hAnsi="Times New Roman" w:cs="Times New Roman"/>
          <w:sz w:val="24"/>
          <w:szCs w:val="24"/>
        </w:rPr>
        <w:t xml:space="preserve">Figure </w:t>
      </w:r>
      <w:r w:rsidR="00A86089" w:rsidRPr="00A86089">
        <w:rPr>
          <w:rFonts w:ascii="Times New Roman" w:hAnsi="Times New Roman" w:cs="Times New Roman"/>
          <w:sz w:val="24"/>
          <w:szCs w:val="24"/>
        </w:rPr>
        <w:t>1</w:t>
      </w:r>
      <w:r w:rsidR="00DF101A" w:rsidRPr="00A86089">
        <w:rPr>
          <w:rFonts w:ascii="Times New Roman" w:hAnsi="Times New Roman" w:cs="Times New Roman"/>
          <w:sz w:val="24"/>
          <w:szCs w:val="24"/>
        </w:rPr>
        <w:t>.</w:t>
      </w:r>
      <w:r w:rsidRPr="00ED783C">
        <w:rPr>
          <w:rFonts w:ascii="Times New Roman" w:hAnsi="Times New Roman" w:cs="Times New Roman"/>
          <w:b/>
          <w:bCs/>
          <w:sz w:val="24"/>
          <w:szCs w:val="24"/>
        </w:rPr>
        <w:t xml:space="preserve"> </w:t>
      </w:r>
      <w:r w:rsidRPr="00ED783C">
        <w:rPr>
          <w:rFonts w:ascii="Times New Roman" w:hAnsi="Times New Roman" w:cs="Times New Roman"/>
          <w:sz w:val="24"/>
          <w:szCs w:val="24"/>
        </w:rPr>
        <w:t>MIC fold-reduction of combinations exhibiting in vitro synergistic</w:t>
      </w:r>
      <w:r>
        <w:rPr>
          <w:rFonts w:ascii="Times New Roman" w:hAnsi="Times New Roman" w:cs="Times New Roman"/>
          <w:sz w:val="24"/>
          <w:szCs w:val="24"/>
        </w:rPr>
        <w:t xml:space="preserve"> </w:t>
      </w:r>
      <w:r w:rsidRPr="00ED783C">
        <w:rPr>
          <w:rFonts w:ascii="Times New Roman" w:hAnsi="Times New Roman" w:cs="Times New Roman"/>
          <w:sz w:val="24"/>
          <w:szCs w:val="24"/>
        </w:rPr>
        <w:t xml:space="preserve">interactions when tested against </w:t>
      </w:r>
      <w:r w:rsidR="00805FC1" w:rsidRPr="00315E78">
        <w:rPr>
          <w:rFonts w:ascii="Times New Roman" w:hAnsi="Times New Roman" w:cs="Times New Roman"/>
          <w:i/>
          <w:iCs/>
          <w:sz w:val="24"/>
          <w:szCs w:val="24"/>
        </w:rPr>
        <w:t>M. tuberculosis H37</w:t>
      </w:r>
      <w:r w:rsidR="00805FC1">
        <w:rPr>
          <w:rFonts w:ascii="Times New Roman" w:hAnsi="Times New Roman" w:cs="Times New Roman"/>
          <w:i/>
          <w:iCs/>
          <w:sz w:val="24"/>
          <w:szCs w:val="24"/>
        </w:rPr>
        <w:t>Ra (</w:t>
      </w:r>
      <w:r w:rsidR="00805FC1" w:rsidRPr="00315E78">
        <w:rPr>
          <w:rFonts w:ascii="Times New Roman" w:hAnsi="Times New Roman" w:cs="Times New Roman"/>
          <w:i/>
          <w:iCs/>
          <w:sz w:val="24"/>
          <w:szCs w:val="24"/>
        </w:rPr>
        <w:t>Alar</w:t>
      </w:r>
      <w:r w:rsidR="00805FC1">
        <w:rPr>
          <w:rFonts w:ascii="Times New Roman" w:hAnsi="Times New Roman" w:cs="Times New Roman"/>
          <w:i/>
          <w:iCs/>
          <w:sz w:val="24"/>
          <w:szCs w:val="24"/>
        </w:rPr>
        <w:t xml:space="preserve">) </w:t>
      </w:r>
      <w:r w:rsidR="003954E6" w:rsidRPr="003954E6">
        <w:rPr>
          <w:rFonts w:ascii="Times New Roman" w:hAnsi="Times New Roman" w:cs="Times New Roman"/>
          <w:sz w:val="24"/>
          <w:szCs w:val="24"/>
        </w:rPr>
        <w:t>by</w:t>
      </w:r>
      <w:r w:rsidR="003954E6">
        <w:rPr>
          <w:rFonts w:ascii="Times New Roman" w:hAnsi="Times New Roman" w:cs="Times New Roman"/>
          <w:i/>
          <w:iCs/>
          <w:sz w:val="24"/>
          <w:szCs w:val="24"/>
        </w:rPr>
        <w:t xml:space="preserve"> </w:t>
      </w:r>
      <w:r w:rsidRPr="00ED783C">
        <w:rPr>
          <w:rFonts w:ascii="Times New Roman" w:hAnsi="Times New Roman" w:cs="Times New Roman"/>
          <w:sz w:val="24"/>
          <w:szCs w:val="24"/>
        </w:rPr>
        <w:t xml:space="preserve">showing mean from </w:t>
      </w:r>
      <w:r w:rsidR="00805FC1">
        <w:rPr>
          <w:rFonts w:ascii="Times New Roman" w:hAnsi="Times New Roman" w:cs="Times New Roman"/>
          <w:sz w:val="24"/>
          <w:szCs w:val="24"/>
        </w:rPr>
        <w:t>trip</w:t>
      </w:r>
      <w:r w:rsidRPr="00ED783C">
        <w:rPr>
          <w:rFonts w:ascii="Times New Roman" w:hAnsi="Times New Roman" w:cs="Times New Roman"/>
          <w:sz w:val="24"/>
          <w:szCs w:val="24"/>
        </w:rPr>
        <w:t>licate</w:t>
      </w:r>
      <w:r>
        <w:rPr>
          <w:rFonts w:ascii="Times New Roman" w:hAnsi="Times New Roman" w:cs="Times New Roman"/>
          <w:sz w:val="24"/>
          <w:szCs w:val="24"/>
        </w:rPr>
        <w:t xml:space="preserve"> </w:t>
      </w:r>
      <w:r w:rsidR="00805FC1">
        <w:rPr>
          <w:rFonts w:ascii="Times New Roman" w:hAnsi="Times New Roman" w:cs="Times New Roman"/>
          <w:sz w:val="24"/>
          <w:szCs w:val="24"/>
        </w:rPr>
        <w:t>experiment</w:t>
      </w:r>
      <w:r w:rsidRPr="00ED783C">
        <w:rPr>
          <w:rFonts w:ascii="Times New Roman" w:hAnsi="Times New Roman" w:cs="Times New Roman"/>
          <w:sz w:val="24"/>
          <w:szCs w:val="24"/>
        </w:rPr>
        <w:t>.</w:t>
      </w:r>
      <w:r w:rsidR="007C7758">
        <w:rPr>
          <w:rFonts w:ascii="Times New Roman" w:hAnsi="Times New Roman" w:cs="Times New Roman"/>
          <w:sz w:val="24"/>
          <w:szCs w:val="24"/>
        </w:rPr>
        <w:t xml:space="preserve"> </w:t>
      </w:r>
    </w:p>
    <w:p w14:paraId="3B310C8E" w14:textId="2A44ED0F" w:rsidR="00C115BC" w:rsidRPr="00C115BC" w:rsidRDefault="00C115BC" w:rsidP="00C115BC">
      <w:pPr>
        <w:spacing w:line="360" w:lineRule="auto"/>
        <w:jc w:val="both"/>
        <w:rPr>
          <w:rFonts w:ascii="Times New Roman" w:hAnsi="Times New Roman" w:cs="Times New Roman"/>
          <w:sz w:val="24"/>
          <w:szCs w:val="24"/>
        </w:rPr>
      </w:pPr>
      <w:r w:rsidRPr="00DB4D4A">
        <w:rPr>
          <w:rFonts w:ascii="Times New Roman" w:hAnsi="Times New Roman" w:cs="Times New Roman"/>
          <w:sz w:val="24"/>
          <w:szCs w:val="24"/>
        </w:rPr>
        <w:t xml:space="preserve">Interestingly, in addition to in vitro bacteriostatic and bactericidal effects, DL25 </w:t>
      </w:r>
      <w:r>
        <w:rPr>
          <w:rFonts w:ascii="Times New Roman" w:hAnsi="Times New Roman" w:cs="Times New Roman"/>
          <w:sz w:val="24"/>
          <w:szCs w:val="24"/>
        </w:rPr>
        <w:t xml:space="preserve">compound </w:t>
      </w:r>
      <w:r w:rsidRPr="00DB4D4A">
        <w:rPr>
          <w:rFonts w:ascii="Times New Roman" w:hAnsi="Times New Roman" w:cs="Times New Roman"/>
          <w:sz w:val="24"/>
          <w:szCs w:val="24"/>
        </w:rPr>
        <w:t xml:space="preserve">also showed </w:t>
      </w:r>
      <w:r>
        <w:rPr>
          <w:rFonts w:ascii="Times New Roman" w:hAnsi="Times New Roman" w:cs="Times New Roman"/>
        </w:rPr>
        <w:t>Partially</w:t>
      </w:r>
      <w:r w:rsidRPr="00DB4D4A">
        <w:rPr>
          <w:rFonts w:ascii="Times New Roman" w:hAnsi="Times New Roman" w:cs="Times New Roman"/>
          <w:sz w:val="24"/>
          <w:szCs w:val="24"/>
        </w:rPr>
        <w:t xml:space="preserve"> synergistic effects against </w:t>
      </w:r>
      <w:r w:rsidRPr="00DB4D4A">
        <w:rPr>
          <w:rFonts w:ascii="Times New Roman" w:hAnsi="Times New Roman" w:cs="Times New Roman"/>
          <w:i/>
          <w:iCs/>
          <w:sz w:val="24"/>
          <w:szCs w:val="24"/>
        </w:rPr>
        <w:t>M. tuberculosis H37Ra</w:t>
      </w:r>
      <w:r w:rsidRPr="00DB4D4A">
        <w:rPr>
          <w:rFonts w:ascii="Times New Roman" w:hAnsi="Times New Roman" w:cs="Times New Roman"/>
          <w:sz w:val="24"/>
          <w:szCs w:val="24"/>
        </w:rPr>
        <w:t xml:space="preserve"> in combination with first and second-line anti-tuberculosis drugs</w:t>
      </w:r>
      <w:r>
        <w:rPr>
          <w:rFonts w:ascii="Times New Roman" w:hAnsi="Times New Roman" w:cs="Times New Roman"/>
          <w:sz w:val="24"/>
          <w:szCs w:val="24"/>
        </w:rPr>
        <w:t xml:space="preserve"> as shown in </w:t>
      </w:r>
      <w:r w:rsidRPr="00A86089">
        <w:rPr>
          <w:rFonts w:ascii="Times New Roman" w:hAnsi="Times New Roman" w:cs="Times New Roman"/>
          <w:sz w:val="24"/>
          <w:szCs w:val="24"/>
        </w:rPr>
        <w:t xml:space="preserve">table </w:t>
      </w:r>
      <w:r w:rsidR="00A86089" w:rsidRPr="00A86089">
        <w:rPr>
          <w:rFonts w:ascii="Times New Roman" w:hAnsi="Times New Roman" w:cs="Times New Roman"/>
          <w:sz w:val="24"/>
          <w:szCs w:val="24"/>
        </w:rPr>
        <w:t>1</w:t>
      </w:r>
      <w:r w:rsidRPr="00A86089">
        <w:rPr>
          <w:rFonts w:ascii="Times New Roman" w:hAnsi="Times New Roman" w:cs="Times New Roman"/>
          <w:sz w:val="24"/>
          <w:szCs w:val="24"/>
        </w:rPr>
        <w:t>.</w:t>
      </w:r>
      <w:r w:rsidRPr="00DB4D4A">
        <w:rPr>
          <w:rFonts w:ascii="Times New Roman" w:hAnsi="Times New Roman" w:cs="Times New Roman"/>
          <w:sz w:val="24"/>
          <w:szCs w:val="24"/>
        </w:rPr>
        <w:t xml:space="preserve"> However, on which way such anti-tuberculosis </w:t>
      </w:r>
      <w:r>
        <w:rPr>
          <w:rFonts w:ascii="Times New Roman" w:hAnsi="Times New Roman" w:cs="Times New Roman"/>
          <w:sz w:val="24"/>
          <w:szCs w:val="24"/>
        </w:rPr>
        <w:t>activity</w:t>
      </w:r>
      <w:r w:rsidRPr="00DB4D4A">
        <w:rPr>
          <w:rFonts w:ascii="Times New Roman" w:hAnsi="Times New Roman" w:cs="Times New Roman"/>
          <w:sz w:val="24"/>
          <w:szCs w:val="24"/>
        </w:rPr>
        <w:t xml:space="preserve"> improvement was achieved between DL25</w:t>
      </w:r>
      <w:r>
        <w:rPr>
          <w:rFonts w:ascii="Times New Roman" w:hAnsi="Times New Roman" w:cs="Times New Roman"/>
          <w:sz w:val="24"/>
          <w:szCs w:val="24"/>
        </w:rPr>
        <w:t xml:space="preserve"> compound</w:t>
      </w:r>
      <w:r w:rsidRPr="00DB4D4A">
        <w:rPr>
          <w:rFonts w:ascii="Times New Roman" w:hAnsi="Times New Roman" w:cs="Times New Roman"/>
          <w:sz w:val="24"/>
          <w:szCs w:val="24"/>
        </w:rPr>
        <w:t xml:space="preserve"> and </w:t>
      </w:r>
      <w:r>
        <w:rPr>
          <w:rFonts w:ascii="Times New Roman" w:hAnsi="Times New Roman" w:cs="Times New Roman"/>
          <w:sz w:val="24"/>
          <w:szCs w:val="24"/>
        </w:rPr>
        <w:t>these antibiotics</w:t>
      </w:r>
      <w:r w:rsidRPr="00DB4D4A">
        <w:rPr>
          <w:rFonts w:ascii="Times New Roman" w:hAnsi="Times New Roman" w:cs="Times New Roman"/>
          <w:sz w:val="24"/>
          <w:szCs w:val="24"/>
        </w:rPr>
        <w:t xml:space="preserve"> </w:t>
      </w:r>
      <w:r>
        <w:rPr>
          <w:rFonts w:ascii="Times New Roman" w:hAnsi="Times New Roman" w:cs="Times New Roman"/>
          <w:sz w:val="24"/>
          <w:szCs w:val="24"/>
        </w:rPr>
        <w:t>are</w:t>
      </w:r>
      <w:r w:rsidRPr="00DB4D4A">
        <w:rPr>
          <w:rFonts w:ascii="Times New Roman" w:hAnsi="Times New Roman" w:cs="Times New Roman"/>
          <w:sz w:val="24"/>
          <w:szCs w:val="24"/>
        </w:rPr>
        <w:t xml:space="preserve"> needed further </w:t>
      </w:r>
      <w:r>
        <w:rPr>
          <w:rFonts w:ascii="Times New Roman" w:hAnsi="Times New Roman" w:cs="Times New Roman"/>
          <w:sz w:val="24"/>
          <w:szCs w:val="24"/>
        </w:rPr>
        <w:t xml:space="preserve">validation </w:t>
      </w:r>
      <w:r w:rsidRPr="00DB4D4A">
        <w:rPr>
          <w:rFonts w:ascii="Times New Roman" w:hAnsi="Times New Roman" w:cs="Times New Roman"/>
          <w:sz w:val="24"/>
          <w:szCs w:val="24"/>
        </w:rPr>
        <w:t xml:space="preserve">study. The results of the checkerboard tests revealed decrease in the MIC with DL25 </w:t>
      </w:r>
      <w:r>
        <w:rPr>
          <w:rFonts w:ascii="Times New Roman" w:hAnsi="Times New Roman" w:cs="Times New Roman"/>
          <w:sz w:val="24"/>
          <w:szCs w:val="24"/>
        </w:rPr>
        <w:t xml:space="preserve">compound </w:t>
      </w:r>
      <w:r w:rsidRPr="00DB4D4A">
        <w:rPr>
          <w:rFonts w:ascii="Times New Roman" w:hAnsi="Times New Roman" w:cs="Times New Roman"/>
          <w:sz w:val="24"/>
          <w:szCs w:val="24"/>
        </w:rPr>
        <w:t xml:space="preserve">and antimycobacterial </w:t>
      </w:r>
      <w:r>
        <w:rPr>
          <w:rFonts w:ascii="Times New Roman" w:hAnsi="Times New Roman" w:cs="Times New Roman"/>
          <w:sz w:val="24"/>
          <w:szCs w:val="24"/>
        </w:rPr>
        <w:t xml:space="preserve">RBF, BDQ, RIF, ETH, and LZD </w:t>
      </w:r>
      <w:r w:rsidRPr="00DB4D4A">
        <w:rPr>
          <w:rFonts w:ascii="Times New Roman" w:hAnsi="Times New Roman" w:cs="Times New Roman"/>
          <w:sz w:val="24"/>
          <w:szCs w:val="24"/>
        </w:rPr>
        <w:t>combination</w:t>
      </w:r>
      <w:r>
        <w:rPr>
          <w:rFonts w:ascii="Times New Roman" w:hAnsi="Times New Roman" w:cs="Times New Roman"/>
          <w:sz w:val="24"/>
          <w:szCs w:val="24"/>
        </w:rPr>
        <w:t xml:space="preserve"> as shown in </w:t>
      </w:r>
      <w:r w:rsidRPr="00A86089">
        <w:rPr>
          <w:rFonts w:ascii="Times New Roman" w:hAnsi="Times New Roman" w:cs="Times New Roman"/>
          <w:sz w:val="24"/>
          <w:szCs w:val="24"/>
        </w:rPr>
        <w:t xml:space="preserve">figure </w:t>
      </w:r>
      <w:r w:rsidR="00A86089" w:rsidRPr="00A86089">
        <w:rPr>
          <w:rFonts w:ascii="Times New Roman" w:hAnsi="Times New Roman" w:cs="Times New Roman"/>
          <w:sz w:val="24"/>
          <w:szCs w:val="24"/>
        </w:rPr>
        <w:t>1</w:t>
      </w:r>
      <w:r w:rsidRPr="00DB4D4A">
        <w:rPr>
          <w:rFonts w:ascii="Times New Roman" w:hAnsi="Times New Roman" w:cs="Times New Roman"/>
          <w:sz w:val="24"/>
          <w:szCs w:val="24"/>
        </w:rPr>
        <w:t xml:space="preserve">. Thus, DL25 </w:t>
      </w:r>
      <w:r>
        <w:rPr>
          <w:rFonts w:ascii="Times New Roman" w:hAnsi="Times New Roman" w:cs="Times New Roman"/>
          <w:sz w:val="24"/>
          <w:szCs w:val="24"/>
        </w:rPr>
        <w:t xml:space="preserve">compound </w:t>
      </w:r>
      <w:r w:rsidRPr="00DB4D4A">
        <w:rPr>
          <w:rFonts w:ascii="Times New Roman" w:hAnsi="Times New Roman" w:cs="Times New Roman"/>
          <w:sz w:val="24"/>
          <w:szCs w:val="24"/>
        </w:rPr>
        <w:t xml:space="preserve">enhances the therapeutic activity of </w:t>
      </w:r>
      <w:r>
        <w:rPr>
          <w:rFonts w:ascii="Times New Roman" w:hAnsi="Times New Roman" w:cs="Times New Roman"/>
          <w:sz w:val="24"/>
          <w:szCs w:val="24"/>
        </w:rPr>
        <w:t xml:space="preserve">RBF, BDQ, RIF, ETH, and LZD </w:t>
      </w:r>
      <w:r w:rsidRPr="002518E1">
        <w:rPr>
          <w:rFonts w:ascii="Times New Roman" w:hAnsi="Times New Roman" w:cs="Times New Roman"/>
          <w:sz w:val="24"/>
          <w:szCs w:val="24"/>
        </w:rPr>
        <w:t xml:space="preserve">against </w:t>
      </w:r>
      <w:r w:rsidRPr="002518E1">
        <w:rPr>
          <w:rFonts w:ascii="Times New Roman" w:hAnsi="Times New Roman" w:cs="Times New Roman"/>
          <w:i/>
          <w:iCs/>
          <w:sz w:val="24"/>
          <w:szCs w:val="24"/>
        </w:rPr>
        <w:t>M. tuberculosis H37Ra</w:t>
      </w:r>
      <w:r w:rsidRPr="002518E1">
        <w:rPr>
          <w:rFonts w:ascii="Times New Roman" w:hAnsi="Times New Roman" w:cs="Times New Roman"/>
          <w:sz w:val="24"/>
          <w:szCs w:val="24"/>
        </w:rPr>
        <w:t xml:space="preserve"> due to Partially synergistic interaction. The MIC for </w:t>
      </w:r>
      <w:r>
        <w:rPr>
          <w:rFonts w:ascii="Times New Roman" w:hAnsi="Times New Roman" w:cs="Times New Roman"/>
          <w:sz w:val="24"/>
          <w:szCs w:val="24"/>
        </w:rPr>
        <w:t xml:space="preserve">RBF, RIF, and ETH </w:t>
      </w:r>
      <w:r w:rsidRPr="002518E1">
        <w:rPr>
          <w:rFonts w:ascii="Times New Roman" w:hAnsi="Times New Roman" w:cs="Times New Roman"/>
          <w:sz w:val="24"/>
          <w:szCs w:val="24"/>
        </w:rPr>
        <w:t xml:space="preserve">was reduced almost 2 times, when used in combination with DL25 compound. But, DL25 compound exhibited Indifferent with </w:t>
      </w:r>
      <w:r>
        <w:rPr>
          <w:rFonts w:ascii="Times New Roman" w:hAnsi="Times New Roman" w:cs="Times New Roman"/>
          <w:sz w:val="24"/>
          <w:szCs w:val="24"/>
        </w:rPr>
        <w:t>the rest of antibiotic</w:t>
      </w:r>
      <w:r w:rsidRPr="002518E1">
        <w:rPr>
          <w:rFonts w:ascii="Times New Roman" w:hAnsi="Times New Roman" w:cs="Times New Roman"/>
          <w:sz w:val="24"/>
          <w:szCs w:val="24"/>
        </w:rPr>
        <w:t>, both returning a fractional inhibitory concentration index (FICI) value of 1.5 and 1.0, respectively as shown in table 3.</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1806"/>
        <w:gridCol w:w="1956"/>
        <w:gridCol w:w="1995"/>
        <w:gridCol w:w="1941"/>
      </w:tblGrid>
      <w:tr w:rsidR="00DC3C30" w14:paraId="296F6E63" w14:textId="77777777" w:rsidTr="000608EA">
        <w:trPr>
          <w:trHeight w:val="1719"/>
        </w:trPr>
        <w:tc>
          <w:tcPr>
            <w:tcW w:w="1766" w:type="dxa"/>
          </w:tcPr>
          <w:p w14:paraId="76B3AFE8" w14:textId="77777777" w:rsidR="009239DF" w:rsidRPr="00DC3C30" w:rsidRDefault="009239DF" w:rsidP="00DC3C30">
            <w:pPr>
              <w:jc w:val="both"/>
              <w:rPr>
                <w:rFonts w:ascii="Times New Roman" w:hAnsi="Times New Roman" w:cs="Times New Roman"/>
                <w:b/>
                <w:bCs/>
                <w:sz w:val="20"/>
                <w:szCs w:val="20"/>
              </w:rPr>
            </w:pPr>
          </w:p>
        </w:tc>
        <w:tc>
          <w:tcPr>
            <w:tcW w:w="1767" w:type="dxa"/>
          </w:tcPr>
          <w:p w14:paraId="66704D11" w14:textId="3998BBC5" w:rsidR="009239DF" w:rsidRPr="00DC3C30" w:rsidRDefault="009239DF" w:rsidP="00DC3C30">
            <w:pPr>
              <w:jc w:val="center"/>
              <w:rPr>
                <w:rFonts w:ascii="Times New Roman" w:hAnsi="Times New Roman" w:cs="Times New Roman"/>
                <w:b/>
                <w:bCs/>
                <w:sz w:val="20"/>
                <w:szCs w:val="20"/>
              </w:rPr>
            </w:pPr>
            <w:r w:rsidRPr="00DC3C30">
              <w:rPr>
                <w:rFonts w:ascii="Times New Roman" w:hAnsi="Times New Roman" w:cs="Times New Roman"/>
                <w:b/>
                <w:bCs/>
                <w:noProof/>
                <w:sz w:val="20"/>
                <w:szCs w:val="20"/>
              </w:rPr>
              <w:drawing>
                <wp:inline distT="0" distB="0" distL="0" distR="0" wp14:anchorId="33685334" wp14:editId="06D18A62">
                  <wp:extent cx="1005840" cy="10668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116" r="2144" b="6067"/>
                          <a:stretch/>
                        </pic:blipFill>
                        <pic:spPr bwMode="auto">
                          <a:xfrm>
                            <a:off x="0" y="0"/>
                            <a:ext cx="1006335" cy="10673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13" w:type="dxa"/>
          </w:tcPr>
          <w:p w14:paraId="7D4973B1" w14:textId="34A31A31" w:rsidR="009239DF" w:rsidRPr="00DC3C30" w:rsidRDefault="009239DF" w:rsidP="00DC3C30">
            <w:pPr>
              <w:jc w:val="center"/>
              <w:rPr>
                <w:rFonts w:ascii="Times New Roman" w:hAnsi="Times New Roman" w:cs="Times New Roman"/>
                <w:b/>
                <w:bCs/>
                <w:sz w:val="20"/>
                <w:szCs w:val="20"/>
              </w:rPr>
            </w:pPr>
            <w:r w:rsidRPr="00DC3C30">
              <w:rPr>
                <w:rFonts w:ascii="Times New Roman" w:hAnsi="Times New Roman" w:cs="Times New Roman"/>
                <w:b/>
                <w:bCs/>
                <w:noProof/>
                <w:sz w:val="20"/>
                <w:szCs w:val="20"/>
              </w:rPr>
              <w:drawing>
                <wp:inline distT="0" distB="0" distL="0" distR="0" wp14:anchorId="5AC1A54C" wp14:editId="014DB161">
                  <wp:extent cx="1102515" cy="1069848"/>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t="10004" r="-79" b="17184"/>
                          <a:stretch/>
                        </pic:blipFill>
                        <pic:spPr bwMode="auto">
                          <a:xfrm>
                            <a:off x="0" y="0"/>
                            <a:ext cx="1102515" cy="10698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51" w:type="dxa"/>
          </w:tcPr>
          <w:p w14:paraId="05E84A6F" w14:textId="625E7160" w:rsidR="009239DF" w:rsidRPr="00DC3C30" w:rsidRDefault="009239DF" w:rsidP="00DC3C30">
            <w:pPr>
              <w:jc w:val="center"/>
              <w:rPr>
                <w:rFonts w:ascii="Times New Roman" w:hAnsi="Times New Roman" w:cs="Times New Roman"/>
                <w:b/>
                <w:bCs/>
                <w:sz w:val="20"/>
                <w:szCs w:val="20"/>
              </w:rPr>
            </w:pPr>
            <w:r w:rsidRPr="00DC3C30">
              <w:rPr>
                <w:rFonts w:ascii="Times New Roman" w:hAnsi="Times New Roman" w:cs="Times New Roman"/>
                <w:b/>
                <w:bCs/>
                <w:noProof/>
                <w:sz w:val="20"/>
                <w:szCs w:val="20"/>
              </w:rPr>
              <w:drawing>
                <wp:inline distT="0" distB="0" distL="0" distR="0" wp14:anchorId="0B73AD12" wp14:editId="726660DA">
                  <wp:extent cx="1129759" cy="10698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7785" r="2142" b="2733"/>
                          <a:stretch/>
                        </pic:blipFill>
                        <pic:spPr bwMode="auto">
                          <a:xfrm>
                            <a:off x="0" y="0"/>
                            <a:ext cx="1129759" cy="10698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99" w:type="dxa"/>
          </w:tcPr>
          <w:p w14:paraId="3B7C44FD" w14:textId="3C4C3464" w:rsidR="009239DF" w:rsidRPr="00DC3C30" w:rsidRDefault="009239DF" w:rsidP="00DC3C30">
            <w:pPr>
              <w:jc w:val="center"/>
              <w:rPr>
                <w:rFonts w:ascii="Times New Roman" w:hAnsi="Times New Roman" w:cs="Times New Roman"/>
                <w:b/>
                <w:bCs/>
                <w:sz w:val="20"/>
                <w:szCs w:val="20"/>
              </w:rPr>
            </w:pPr>
            <w:r w:rsidRPr="00DC3C30">
              <w:rPr>
                <w:rFonts w:ascii="Times New Roman" w:hAnsi="Times New Roman" w:cs="Times New Roman"/>
                <w:b/>
                <w:bCs/>
                <w:noProof/>
                <w:sz w:val="20"/>
                <w:szCs w:val="20"/>
              </w:rPr>
              <w:drawing>
                <wp:inline distT="0" distB="0" distL="0" distR="0" wp14:anchorId="0E494B18" wp14:editId="74BEE355">
                  <wp:extent cx="1095731" cy="10698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5008" r="5849" b="6068"/>
                          <a:stretch/>
                        </pic:blipFill>
                        <pic:spPr bwMode="auto">
                          <a:xfrm>
                            <a:off x="0" y="0"/>
                            <a:ext cx="1095731" cy="10698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239DF" w14:paraId="4775E44F" w14:textId="77777777" w:rsidTr="000608EA">
        <w:trPr>
          <w:trHeight w:val="449"/>
        </w:trPr>
        <w:tc>
          <w:tcPr>
            <w:tcW w:w="1766" w:type="dxa"/>
          </w:tcPr>
          <w:p w14:paraId="2D2CE723" w14:textId="3098DDCD" w:rsidR="009239DF" w:rsidRPr="00DC3C30" w:rsidRDefault="009239DF" w:rsidP="00DC3C30">
            <w:pPr>
              <w:jc w:val="both"/>
              <w:rPr>
                <w:rFonts w:ascii="Times New Roman" w:hAnsi="Times New Roman" w:cs="Times New Roman"/>
                <w:b/>
                <w:bCs/>
                <w:sz w:val="20"/>
                <w:szCs w:val="20"/>
              </w:rPr>
            </w:pPr>
            <w:r w:rsidRPr="00DC3C30">
              <w:rPr>
                <w:rFonts w:ascii="Times New Roman" w:hAnsi="Times New Roman" w:cs="Times New Roman"/>
                <w:b/>
                <w:bCs/>
                <w:sz w:val="20"/>
                <w:szCs w:val="20"/>
              </w:rPr>
              <w:t>Concentrations (µg/ml)</w:t>
            </w:r>
          </w:p>
        </w:tc>
        <w:tc>
          <w:tcPr>
            <w:tcW w:w="1767" w:type="dxa"/>
          </w:tcPr>
          <w:p w14:paraId="2EABE49C" w14:textId="10C476FB" w:rsidR="009239DF" w:rsidRPr="00DC3C30" w:rsidRDefault="009239DF" w:rsidP="00DC3C30">
            <w:pPr>
              <w:jc w:val="both"/>
              <w:rPr>
                <w:rFonts w:ascii="Times New Roman" w:hAnsi="Times New Roman" w:cs="Times New Roman"/>
                <w:b/>
                <w:bCs/>
                <w:noProof/>
                <w:sz w:val="20"/>
                <w:szCs w:val="20"/>
              </w:rPr>
            </w:pPr>
            <w:r w:rsidRPr="00DC3C30">
              <w:rPr>
                <w:rFonts w:ascii="Times New Roman" w:hAnsi="Times New Roman" w:cs="Times New Roman"/>
                <w:b/>
                <w:bCs/>
                <w:noProof/>
                <w:sz w:val="20"/>
                <w:szCs w:val="20"/>
              </w:rPr>
              <w:t>4</w:t>
            </w:r>
          </w:p>
        </w:tc>
        <w:tc>
          <w:tcPr>
            <w:tcW w:w="1913" w:type="dxa"/>
          </w:tcPr>
          <w:p w14:paraId="136E05AC" w14:textId="5C152B36" w:rsidR="009239DF" w:rsidRPr="00DC3C30" w:rsidRDefault="009239DF" w:rsidP="00DC3C30">
            <w:pPr>
              <w:jc w:val="both"/>
              <w:rPr>
                <w:rFonts w:ascii="Times New Roman" w:hAnsi="Times New Roman" w:cs="Times New Roman"/>
                <w:b/>
                <w:bCs/>
                <w:noProof/>
                <w:sz w:val="20"/>
                <w:szCs w:val="20"/>
              </w:rPr>
            </w:pPr>
            <w:r w:rsidRPr="00DC3C30">
              <w:rPr>
                <w:rFonts w:ascii="Times New Roman" w:hAnsi="Times New Roman" w:cs="Times New Roman"/>
                <w:b/>
                <w:bCs/>
                <w:noProof/>
                <w:sz w:val="20"/>
                <w:szCs w:val="20"/>
              </w:rPr>
              <w:t>8</w:t>
            </w:r>
          </w:p>
        </w:tc>
        <w:tc>
          <w:tcPr>
            <w:tcW w:w="1951" w:type="dxa"/>
          </w:tcPr>
          <w:p w14:paraId="7EDC5885" w14:textId="1258ED99" w:rsidR="009239DF" w:rsidRPr="00DC3C30" w:rsidRDefault="009239DF" w:rsidP="00DC3C30">
            <w:pPr>
              <w:jc w:val="both"/>
              <w:rPr>
                <w:rFonts w:ascii="Times New Roman" w:hAnsi="Times New Roman" w:cs="Times New Roman"/>
                <w:b/>
                <w:bCs/>
                <w:noProof/>
                <w:sz w:val="20"/>
                <w:szCs w:val="20"/>
              </w:rPr>
            </w:pPr>
            <w:r w:rsidRPr="00DC3C30">
              <w:rPr>
                <w:rFonts w:ascii="Times New Roman" w:hAnsi="Times New Roman" w:cs="Times New Roman"/>
                <w:b/>
                <w:bCs/>
                <w:noProof/>
                <w:sz w:val="20"/>
                <w:szCs w:val="20"/>
              </w:rPr>
              <w:t>16</w:t>
            </w:r>
          </w:p>
        </w:tc>
        <w:tc>
          <w:tcPr>
            <w:tcW w:w="1899" w:type="dxa"/>
          </w:tcPr>
          <w:p w14:paraId="663CD9A1" w14:textId="241EB2B3" w:rsidR="009239DF" w:rsidRPr="00DC3C30" w:rsidRDefault="009239DF" w:rsidP="00DC3C30">
            <w:pPr>
              <w:jc w:val="both"/>
              <w:rPr>
                <w:rFonts w:ascii="Times New Roman" w:hAnsi="Times New Roman" w:cs="Times New Roman"/>
                <w:b/>
                <w:bCs/>
                <w:noProof/>
                <w:sz w:val="20"/>
                <w:szCs w:val="20"/>
              </w:rPr>
            </w:pPr>
            <w:r w:rsidRPr="00DC3C30">
              <w:rPr>
                <w:rFonts w:ascii="Times New Roman" w:hAnsi="Times New Roman" w:cs="Times New Roman"/>
                <w:b/>
                <w:bCs/>
                <w:noProof/>
                <w:sz w:val="20"/>
                <w:szCs w:val="20"/>
              </w:rPr>
              <w:t>32</w:t>
            </w:r>
          </w:p>
        </w:tc>
      </w:tr>
    </w:tbl>
    <w:p w14:paraId="54B3E8F6" w14:textId="46A83632" w:rsidR="00E12374" w:rsidRPr="006A7543" w:rsidRDefault="00883A5D" w:rsidP="006A7543">
      <w:pPr>
        <w:spacing w:before="240" w:line="360" w:lineRule="auto"/>
        <w:jc w:val="both"/>
        <w:rPr>
          <w:rFonts w:ascii="Times New Roman" w:hAnsi="Times New Roman" w:cs="Times New Roman"/>
          <w:sz w:val="24"/>
          <w:szCs w:val="24"/>
        </w:rPr>
        <w:sectPr w:rsidR="00E12374" w:rsidRPr="006A7543" w:rsidSect="00E40663">
          <w:pgSz w:w="11906" w:h="16838" w:code="9"/>
          <w:pgMar w:top="1440" w:right="1440" w:bottom="1440" w:left="1440" w:header="720" w:footer="720" w:gutter="0"/>
          <w:lnNumType w:countBy="1" w:restart="continuous"/>
          <w:cols w:space="720"/>
          <w:docGrid w:linePitch="360"/>
        </w:sectPr>
      </w:pPr>
      <w:r w:rsidRPr="008C0981">
        <w:rPr>
          <w:rFonts w:ascii="Times New Roman" w:hAnsi="Times New Roman" w:cs="Times New Roman"/>
          <w:b/>
          <w:bCs/>
          <w:sz w:val="24"/>
          <w:szCs w:val="24"/>
        </w:rPr>
        <w:t>Figure 1.</w:t>
      </w:r>
      <w:r w:rsidRPr="004E2ED3">
        <w:rPr>
          <w:rFonts w:ascii="Times New Roman" w:hAnsi="Times New Roman" w:cs="Times New Roman"/>
          <w:sz w:val="24"/>
          <w:szCs w:val="24"/>
        </w:rPr>
        <w:t xml:space="preserve"> The </w:t>
      </w:r>
      <w:r w:rsidRPr="00902F95">
        <w:rPr>
          <w:rFonts w:ascii="Times New Roman" w:hAnsi="Times New Roman" w:cs="Times New Roman"/>
          <w:i/>
          <w:iCs/>
          <w:sz w:val="24"/>
          <w:szCs w:val="24"/>
        </w:rPr>
        <w:t>Mycobacterium tuberculosis</w:t>
      </w:r>
      <w:r w:rsidRPr="004E2ED3">
        <w:rPr>
          <w:rFonts w:ascii="Times New Roman" w:hAnsi="Times New Roman" w:cs="Times New Roman"/>
          <w:sz w:val="24"/>
          <w:szCs w:val="24"/>
        </w:rPr>
        <w:t xml:space="preserve"> </w:t>
      </w:r>
      <w:r w:rsidR="000608EA">
        <w:rPr>
          <w:rFonts w:ascii="Times New Roman" w:hAnsi="Times New Roman" w:cs="Times New Roman"/>
          <w:sz w:val="24"/>
          <w:szCs w:val="24"/>
        </w:rPr>
        <w:t>(</w:t>
      </w:r>
      <w:r w:rsidR="00232F54">
        <w:rPr>
          <w:rFonts w:ascii="Times New Roman" w:hAnsi="Times New Roman" w:cs="Times New Roman"/>
          <w:i/>
          <w:iCs/>
          <w:sz w:val="24"/>
          <w:szCs w:val="24"/>
        </w:rPr>
        <w:t>AlR</w:t>
      </w:r>
      <w:r w:rsidR="00C115BC">
        <w:rPr>
          <w:rFonts w:ascii="Times New Roman" w:hAnsi="Times New Roman" w:cs="Times New Roman"/>
          <w:i/>
          <w:iCs/>
          <w:sz w:val="24"/>
          <w:szCs w:val="24"/>
        </w:rPr>
        <w:t>a</w:t>
      </w:r>
      <w:r w:rsidR="000608EA">
        <w:rPr>
          <w:rFonts w:ascii="Times New Roman" w:hAnsi="Times New Roman" w:cs="Times New Roman"/>
          <w:sz w:val="24"/>
          <w:szCs w:val="24"/>
        </w:rPr>
        <w:t xml:space="preserve">) </w:t>
      </w:r>
      <w:r w:rsidRPr="004E2ED3">
        <w:rPr>
          <w:rFonts w:ascii="Times New Roman" w:hAnsi="Times New Roman" w:cs="Times New Roman"/>
          <w:sz w:val="24"/>
          <w:szCs w:val="24"/>
        </w:rPr>
        <w:t xml:space="preserve">has higher level of </w:t>
      </w:r>
      <w:r w:rsidR="00DF4E52">
        <w:rPr>
          <w:rFonts w:ascii="Times New Roman" w:hAnsi="Times New Roman" w:cs="Times New Roman"/>
          <w:sz w:val="24"/>
          <w:szCs w:val="24"/>
        </w:rPr>
        <w:t>sensitivity</w:t>
      </w:r>
      <w:r w:rsidRPr="004E2ED3">
        <w:rPr>
          <w:rFonts w:ascii="Times New Roman" w:hAnsi="Times New Roman" w:cs="Times New Roman"/>
          <w:sz w:val="24"/>
          <w:szCs w:val="24"/>
        </w:rPr>
        <w:t xml:space="preserve"> to </w:t>
      </w:r>
      <w:r>
        <w:rPr>
          <w:rFonts w:ascii="Times New Roman" w:hAnsi="Times New Roman" w:cs="Times New Roman"/>
          <w:sz w:val="24"/>
          <w:szCs w:val="24"/>
        </w:rPr>
        <w:t>DL25 compound</w:t>
      </w:r>
      <w:r w:rsidRPr="004E2ED3">
        <w:rPr>
          <w:rFonts w:ascii="Times New Roman" w:hAnsi="Times New Roman" w:cs="Times New Roman"/>
          <w:sz w:val="24"/>
          <w:szCs w:val="24"/>
        </w:rPr>
        <w:t>.</w:t>
      </w:r>
    </w:p>
    <w:p w14:paraId="56483079" w14:textId="30C24EC9" w:rsidR="006455D6" w:rsidRPr="003A1EA7" w:rsidRDefault="006455D6" w:rsidP="003A1EA7">
      <w:pPr>
        <w:spacing w:line="360" w:lineRule="auto"/>
        <w:jc w:val="both"/>
        <w:rPr>
          <w:rFonts w:ascii="Times New Roman" w:hAnsi="Times New Roman" w:cs="Times New Roman"/>
          <w:sz w:val="24"/>
          <w:szCs w:val="24"/>
        </w:rPr>
        <w:sectPr w:rsidR="006455D6" w:rsidRPr="003A1EA7" w:rsidSect="00C078EA">
          <w:pgSz w:w="11906" w:h="16838" w:code="9"/>
          <w:pgMar w:top="1440" w:right="1440" w:bottom="1440" w:left="1440" w:header="720" w:footer="720" w:gutter="0"/>
          <w:cols w:space="720"/>
          <w:docGrid w:linePitch="360"/>
        </w:sectPr>
      </w:pPr>
    </w:p>
    <w:p w14:paraId="650A9258" w14:textId="77777777" w:rsidR="0066221A" w:rsidRPr="0066221A" w:rsidRDefault="0066221A" w:rsidP="0066221A">
      <w:pPr>
        <w:spacing w:after="0" w:line="360" w:lineRule="auto"/>
        <w:jc w:val="both"/>
        <w:rPr>
          <w:rFonts w:ascii="Times New Roman" w:hAnsi="Times New Roman" w:cs="Times New Roman"/>
          <w:sz w:val="24"/>
          <w:szCs w:val="24"/>
        </w:rPr>
      </w:pPr>
    </w:p>
    <w:sectPr w:rsidR="0066221A" w:rsidRPr="0066221A" w:rsidSect="00C078E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B2BF" w14:textId="77777777" w:rsidR="009E765B" w:rsidRDefault="009E765B" w:rsidP="000F6365">
      <w:pPr>
        <w:spacing w:after="0" w:line="240" w:lineRule="auto"/>
      </w:pPr>
      <w:r>
        <w:separator/>
      </w:r>
    </w:p>
  </w:endnote>
  <w:endnote w:type="continuationSeparator" w:id="0">
    <w:p w14:paraId="02296745" w14:textId="77777777" w:rsidR="009E765B" w:rsidRDefault="009E765B" w:rsidP="000F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OT303e83b8">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5D50" w14:textId="77777777" w:rsidR="009E765B" w:rsidRDefault="009E765B" w:rsidP="000F6365">
      <w:pPr>
        <w:spacing w:after="0" w:line="240" w:lineRule="auto"/>
      </w:pPr>
      <w:r>
        <w:separator/>
      </w:r>
    </w:p>
  </w:footnote>
  <w:footnote w:type="continuationSeparator" w:id="0">
    <w:p w14:paraId="2EEC9E6B" w14:textId="77777777" w:rsidR="009E765B" w:rsidRDefault="009E765B" w:rsidP="000F6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0E22"/>
    <w:multiLevelType w:val="hybridMultilevel"/>
    <w:tmpl w:val="D3D2D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10837"/>
    <w:multiLevelType w:val="hybridMultilevel"/>
    <w:tmpl w:val="7F28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A35DD"/>
    <w:multiLevelType w:val="hybridMultilevel"/>
    <w:tmpl w:val="EC1690BC"/>
    <w:lvl w:ilvl="0" w:tplc="01F0D6A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9F"/>
    <w:rsid w:val="0000072B"/>
    <w:rsid w:val="00002043"/>
    <w:rsid w:val="00003458"/>
    <w:rsid w:val="0000637F"/>
    <w:rsid w:val="000239AC"/>
    <w:rsid w:val="00023D39"/>
    <w:rsid w:val="00025EC5"/>
    <w:rsid w:val="00027345"/>
    <w:rsid w:val="00031FAC"/>
    <w:rsid w:val="00037301"/>
    <w:rsid w:val="000404FB"/>
    <w:rsid w:val="000431C8"/>
    <w:rsid w:val="000447DC"/>
    <w:rsid w:val="000468D0"/>
    <w:rsid w:val="000502D9"/>
    <w:rsid w:val="00051AF0"/>
    <w:rsid w:val="0005384C"/>
    <w:rsid w:val="00056390"/>
    <w:rsid w:val="00057296"/>
    <w:rsid w:val="00057E68"/>
    <w:rsid w:val="000608EA"/>
    <w:rsid w:val="00060FCD"/>
    <w:rsid w:val="00061FBB"/>
    <w:rsid w:val="0006398E"/>
    <w:rsid w:val="00065E61"/>
    <w:rsid w:val="00066630"/>
    <w:rsid w:val="00074AB3"/>
    <w:rsid w:val="00075E19"/>
    <w:rsid w:val="0007653C"/>
    <w:rsid w:val="0007786E"/>
    <w:rsid w:val="00080C03"/>
    <w:rsid w:val="00083403"/>
    <w:rsid w:val="000A11B2"/>
    <w:rsid w:val="000A1743"/>
    <w:rsid w:val="000A3969"/>
    <w:rsid w:val="000A40FD"/>
    <w:rsid w:val="000A48C2"/>
    <w:rsid w:val="000A5406"/>
    <w:rsid w:val="000A6ECA"/>
    <w:rsid w:val="000A7317"/>
    <w:rsid w:val="000B3DA1"/>
    <w:rsid w:val="000B66E8"/>
    <w:rsid w:val="000C19CE"/>
    <w:rsid w:val="000C3D22"/>
    <w:rsid w:val="000C5343"/>
    <w:rsid w:val="000D1E95"/>
    <w:rsid w:val="000D2F2C"/>
    <w:rsid w:val="000D43E0"/>
    <w:rsid w:val="000E0833"/>
    <w:rsid w:val="000E28C0"/>
    <w:rsid w:val="000E3860"/>
    <w:rsid w:val="000E437F"/>
    <w:rsid w:val="000E5A4B"/>
    <w:rsid w:val="000E71C4"/>
    <w:rsid w:val="000F378B"/>
    <w:rsid w:val="000F397F"/>
    <w:rsid w:val="000F6365"/>
    <w:rsid w:val="0010050A"/>
    <w:rsid w:val="001026BF"/>
    <w:rsid w:val="00102DD1"/>
    <w:rsid w:val="001066DC"/>
    <w:rsid w:val="00106F66"/>
    <w:rsid w:val="00107DC5"/>
    <w:rsid w:val="001130F4"/>
    <w:rsid w:val="00115090"/>
    <w:rsid w:val="001207F4"/>
    <w:rsid w:val="00127D23"/>
    <w:rsid w:val="00127F29"/>
    <w:rsid w:val="001327B6"/>
    <w:rsid w:val="00133A71"/>
    <w:rsid w:val="001442C4"/>
    <w:rsid w:val="00146B8B"/>
    <w:rsid w:val="0015203C"/>
    <w:rsid w:val="00154C7D"/>
    <w:rsid w:val="00157D48"/>
    <w:rsid w:val="00161AB3"/>
    <w:rsid w:val="001674BC"/>
    <w:rsid w:val="00171AB0"/>
    <w:rsid w:val="00173BAA"/>
    <w:rsid w:val="001765C6"/>
    <w:rsid w:val="0018106C"/>
    <w:rsid w:val="001816C4"/>
    <w:rsid w:val="00186472"/>
    <w:rsid w:val="001878C6"/>
    <w:rsid w:val="001932F6"/>
    <w:rsid w:val="00194DD0"/>
    <w:rsid w:val="001A4A1C"/>
    <w:rsid w:val="001A5CB1"/>
    <w:rsid w:val="001B0854"/>
    <w:rsid w:val="001B1A76"/>
    <w:rsid w:val="001B2274"/>
    <w:rsid w:val="001B50B7"/>
    <w:rsid w:val="001B51C6"/>
    <w:rsid w:val="001B5DAE"/>
    <w:rsid w:val="001C51F9"/>
    <w:rsid w:val="001C550E"/>
    <w:rsid w:val="001D070A"/>
    <w:rsid w:val="001D18BC"/>
    <w:rsid w:val="001D20B5"/>
    <w:rsid w:val="001D3271"/>
    <w:rsid w:val="001D4573"/>
    <w:rsid w:val="001D4BF6"/>
    <w:rsid w:val="001E2457"/>
    <w:rsid w:val="001E2B89"/>
    <w:rsid w:val="001E3387"/>
    <w:rsid w:val="001E58D1"/>
    <w:rsid w:val="001F0FC4"/>
    <w:rsid w:val="001F18DE"/>
    <w:rsid w:val="001F22C8"/>
    <w:rsid w:val="001F2522"/>
    <w:rsid w:val="00200678"/>
    <w:rsid w:val="00207432"/>
    <w:rsid w:val="0021030E"/>
    <w:rsid w:val="002116A8"/>
    <w:rsid w:val="00212983"/>
    <w:rsid w:val="0021350F"/>
    <w:rsid w:val="002153EF"/>
    <w:rsid w:val="002155CD"/>
    <w:rsid w:val="00216A5C"/>
    <w:rsid w:val="0022342C"/>
    <w:rsid w:val="00232F54"/>
    <w:rsid w:val="0023359B"/>
    <w:rsid w:val="00233E28"/>
    <w:rsid w:val="002518E1"/>
    <w:rsid w:val="00255580"/>
    <w:rsid w:val="00265613"/>
    <w:rsid w:val="0026728D"/>
    <w:rsid w:val="00271716"/>
    <w:rsid w:val="0027334A"/>
    <w:rsid w:val="0027450F"/>
    <w:rsid w:val="00280B3B"/>
    <w:rsid w:val="00283156"/>
    <w:rsid w:val="00284A8E"/>
    <w:rsid w:val="00286435"/>
    <w:rsid w:val="00287520"/>
    <w:rsid w:val="002907C2"/>
    <w:rsid w:val="002913D1"/>
    <w:rsid w:val="002A4821"/>
    <w:rsid w:val="002A6474"/>
    <w:rsid w:val="002A6F66"/>
    <w:rsid w:val="002B32A5"/>
    <w:rsid w:val="002B4ADF"/>
    <w:rsid w:val="002B7B19"/>
    <w:rsid w:val="002C04DA"/>
    <w:rsid w:val="002C27D1"/>
    <w:rsid w:val="002C3143"/>
    <w:rsid w:val="002C3CB5"/>
    <w:rsid w:val="002D59B6"/>
    <w:rsid w:val="002D6963"/>
    <w:rsid w:val="002E09E9"/>
    <w:rsid w:val="002E1503"/>
    <w:rsid w:val="002F0ECC"/>
    <w:rsid w:val="002F1776"/>
    <w:rsid w:val="002F49A7"/>
    <w:rsid w:val="003041C6"/>
    <w:rsid w:val="003044EA"/>
    <w:rsid w:val="00305F32"/>
    <w:rsid w:val="00310392"/>
    <w:rsid w:val="00311A9C"/>
    <w:rsid w:val="00311CDC"/>
    <w:rsid w:val="00313CC2"/>
    <w:rsid w:val="00315E44"/>
    <w:rsid w:val="00315E78"/>
    <w:rsid w:val="00317417"/>
    <w:rsid w:val="00322472"/>
    <w:rsid w:val="00322FB9"/>
    <w:rsid w:val="0032630B"/>
    <w:rsid w:val="00332352"/>
    <w:rsid w:val="00332D67"/>
    <w:rsid w:val="00334C5C"/>
    <w:rsid w:val="0033609E"/>
    <w:rsid w:val="00337C89"/>
    <w:rsid w:val="00353E94"/>
    <w:rsid w:val="003543BF"/>
    <w:rsid w:val="003602AF"/>
    <w:rsid w:val="00364904"/>
    <w:rsid w:val="00364D87"/>
    <w:rsid w:val="00365B78"/>
    <w:rsid w:val="00367239"/>
    <w:rsid w:val="00373A85"/>
    <w:rsid w:val="00373D38"/>
    <w:rsid w:val="00383535"/>
    <w:rsid w:val="00383E4F"/>
    <w:rsid w:val="00385D9D"/>
    <w:rsid w:val="00386EAA"/>
    <w:rsid w:val="00387CE6"/>
    <w:rsid w:val="003913B3"/>
    <w:rsid w:val="0039339F"/>
    <w:rsid w:val="003954E6"/>
    <w:rsid w:val="00397E1F"/>
    <w:rsid w:val="003A1EA7"/>
    <w:rsid w:val="003A6676"/>
    <w:rsid w:val="003B112B"/>
    <w:rsid w:val="003B49C0"/>
    <w:rsid w:val="003C5758"/>
    <w:rsid w:val="003C7BF6"/>
    <w:rsid w:val="003D1916"/>
    <w:rsid w:val="003D2645"/>
    <w:rsid w:val="003D32B9"/>
    <w:rsid w:val="003D397C"/>
    <w:rsid w:val="003E2908"/>
    <w:rsid w:val="003E4C91"/>
    <w:rsid w:val="003E5022"/>
    <w:rsid w:val="003E695B"/>
    <w:rsid w:val="003E69CB"/>
    <w:rsid w:val="003F1D8F"/>
    <w:rsid w:val="003F426A"/>
    <w:rsid w:val="003F4696"/>
    <w:rsid w:val="003F5143"/>
    <w:rsid w:val="003F5538"/>
    <w:rsid w:val="003F60F9"/>
    <w:rsid w:val="00400CD5"/>
    <w:rsid w:val="00402ED1"/>
    <w:rsid w:val="00403417"/>
    <w:rsid w:val="00412F0F"/>
    <w:rsid w:val="0041608F"/>
    <w:rsid w:val="004173A9"/>
    <w:rsid w:val="00425AE0"/>
    <w:rsid w:val="0042615B"/>
    <w:rsid w:val="004319F7"/>
    <w:rsid w:val="00432B09"/>
    <w:rsid w:val="00433806"/>
    <w:rsid w:val="0043580F"/>
    <w:rsid w:val="00440925"/>
    <w:rsid w:val="00443E7F"/>
    <w:rsid w:val="00444B1B"/>
    <w:rsid w:val="004455B0"/>
    <w:rsid w:val="00447B1C"/>
    <w:rsid w:val="004513B4"/>
    <w:rsid w:val="00452D2D"/>
    <w:rsid w:val="0045306A"/>
    <w:rsid w:val="004541AB"/>
    <w:rsid w:val="00456744"/>
    <w:rsid w:val="00457681"/>
    <w:rsid w:val="0046261F"/>
    <w:rsid w:val="004646A4"/>
    <w:rsid w:val="004648B4"/>
    <w:rsid w:val="004742B1"/>
    <w:rsid w:val="004752B5"/>
    <w:rsid w:val="00476034"/>
    <w:rsid w:val="004774DE"/>
    <w:rsid w:val="00480A83"/>
    <w:rsid w:val="004810B2"/>
    <w:rsid w:val="00484F39"/>
    <w:rsid w:val="004856A9"/>
    <w:rsid w:val="004878D7"/>
    <w:rsid w:val="00495CE8"/>
    <w:rsid w:val="004A4CA2"/>
    <w:rsid w:val="004B06E1"/>
    <w:rsid w:val="004B0DB0"/>
    <w:rsid w:val="004B219F"/>
    <w:rsid w:val="004B419F"/>
    <w:rsid w:val="004B5309"/>
    <w:rsid w:val="004C20B2"/>
    <w:rsid w:val="004C504A"/>
    <w:rsid w:val="004E23D2"/>
    <w:rsid w:val="004E33E7"/>
    <w:rsid w:val="004E7871"/>
    <w:rsid w:val="0050365A"/>
    <w:rsid w:val="005043E8"/>
    <w:rsid w:val="005047C7"/>
    <w:rsid w:val="0050561C"/>
    <w:rsid w:val="0050731D"/>
    <w:rsid w:val="0051694D"/>
    <w:rsid w:val="0052052C"/>
    <w:rsid w:val="005211C9"/>
    <w:rsid w:val="00521939"/>
    <w:rsid w:val="005233C6"/>
    <w:rsid w:val="00531AFF"/>
    <w:rsid w:val="00535E6E"/>
    <w:rsid w:val="00535FDB"/>
    <w:rsid w:val="0053641E"/>
    <w:rsid w:val="005577DE"/>
    <w:rsid w:val="00560C08"/>
    <w:rsid w:val="0056140A"/>
    <w:rsid w:val="005624EF"/>
    <w:rsid w:val="00574A55"/>
    <w:rsid w:val="00574F24"/>
    <w:rsid w:val="00576164"/>
    <w:rsid w:val="005769EF"/>
    <w:rsid w:val="0058049B"/>
    <w:rsid w:val="005816D8"/>
    <w:rsid w:val="00583718"/>
    <w:rsid w:val="00584E06"/>
    <w:rsid w:val="00586895"/>
    <w:rsid w:val="00591564"/>
    <w:rsid w:val="0059212D"/>
    <w:rsid w:val="00594837"/>
    <w:rsid w:val="005970BF"/>
    <w:rsid w:val="005A234C"/>
    <w:rsid w:val="005A2EF0"/>
    <w:rsid w:val="005A343E"/>
    <w:rsid w:val="005A61FE"/>
    <w:rsid w:val="005B3AA5"/>
    <w:rsid w:val="005B5331"/>
    <w:rsid w:val="005B5426"/>
    <w:rsid w:val="005B5B53"/>
    <w:rsid w:val="005C114C"/>
    <w:rsid w:val="005C6E7A"/>
    <w:rsid w:val="005C74DC"/>
    <w:rsid w:val="005C7EF8"/>
    <w:rsid w:val="005D0D8B"/>
    <w:rsid w:val="005D3C6C"/>
    <w:rsid w:val="005E0373"/>
    <w:rsid w:val="005E1D32"/>
    <w:rsid w:val="005E451B"/>
    <w:rsid w:val="005E50BB"/>
    <w:rsid w:val="005F3BA9"/>
    <w:rsid w:val="00602A2A"/>
    <w:rsid w:val="0060556F"/>
    <w:rsid w:val="00612A0D"/>
    <w:rsid w:val="00627851"/>
    <w:rsid w:val="00632B92"/>
    <w:rsid w:val="0063729A"/>
    <w:rsid w:val="006425E6"/>
    <w:rsid w:val="00643C21"/>
    <w:rsid w:val="00643D61"/>
    <w:rsid w:val="006455D6"/>
    <w:rsid w:val="006475DF"/>
    <w:rsid w:val="0065199F"/>
    <w:rsid w:val="0066221A"/>
    <w:rsid w:val="006628AE"/>
    <w:rsid w:val="006711B3"/>
    <w:rsid w:val="00671EC0"/>
    <w:rsid w:val="00675BC3"/>
    <w:rsid w:val="0067630D"/>
    <w:rsid w:val="006772BC"/>
    <w:rsid w:val="00680586"/>
    <w:rsid w:val="0068175B"/>
    <w:rsid w:val="00684AC2"/>
    <w:rsid w:val="006866A6"/>
    <w:rsid w:val="00696411"/>
    <w:rsid w:val="00697639"/>
    <w:rsid w:val="0069784E"/>
    <w:rsid w:val="006A364D"/>
    <w:rsid w:val="006A37A0"/>
    <w:rsid w:val="006A7543"/>
    <w:rsid w:val="006B1339"/>
    <w:rsid w:val="006B3D80"/>
    <w:rsid w:val="006B5D48"/>
    <w:rsid w:val="006C0F89"/>
    <w:rsid w:val="006C23FC"/>
    <w:rsid w:val="006C5988"/>
    <w:rsid w:val="006C6DDD"/>
    <w:rsid w:val="006C7182"/>
    <w:rsid w:val="006D38E2"/>
    <w:rsid w:val="006E03B0"/>
    <w:rsid w:val="006E2B2E"/>
    <w:rsid w:val="006E32B6"/>
    <w:rsid w:val="006F078E"/>
    <w:rsid w:val="006F3F9D"/>
    <w:rsid w:val="006F6DEC"/>
    <w:rsid w:val="007031DE"/>
    <w:rsid w:val="007076D4"/>
    <w:rsid w:val="00707D9B"/>
    <w:rsid w:val="00713016"/>
    <w:rsid w:val="00716344"/>
    <w:rsid w:val="00724A93"/>
    <w:rsid w:val="007266C1"/>
    <w:rsid w:val="00727FCC"/>
    <w:rsid w:val="00730E21"/>
    <w:rsid w:val="00731B35"/>
    <w:rsid w:val="00733C62"/>
    <w:rsid w:val="00735556"/>
    <w:rsid w:val="00735741"/>
    <w:rsid w:val="0074048B"/>
    <w:rsid w:val="0074197D"/>
    <w:rsid w:val="00741D48"/>
    <w:rsid w:val="00756E4B"/>
    <w:rsid w:val="00763D72"/>
    <w:rsid w:val="00771899"/>
    <w:rsid w:val="007731F1"/>
    <w:rsid w:val="00776A76"/>
    <w:rsid w:val="00784978"/>
    <w:rsid w:val="007878BC"/>
    <w:rsid w:val="007921BB"/>
    <w:rsid w:val="00793AC0"/>
    <w:rsid w:val="007971E8"/>
    <w:rsid w:val="00797884"/>
    <w:rsid w:val="007A0F6B"/>
    <w:rsid w:val="007A6358"/>
    <w:rsid w:val="007B0FF4"/>
    <w:rsid w:val="007B1935"/>
    <w:rsid w:val="007C25CB"/>
    <w:rsid w:val="007C3D43"/>
    <w:rsid w:val="007C7758"/>
    <w:rsid w:val="007C7B40"/>
    <w:rsid w:val="007C7C20"/>
    <w:rsid w:val="007D0D0C"/>
    <w:rsid w:val="007E2501"/>
    <w:rsid w:val="007E33DC"/>
    <w:rsid w:val="007E469A"/>
    <w:rsid w:val="007E6DE3"/>
    <w:rsid w:val="007F03A7"/>
    <w:rsid w:val="007F575C"/>
    <w:rsid w:val="0080125B"/>
    <w:rsid w:val="008043FF"/>
    <w:rsid w:val="00805FC1"/>
    <w:rsid w:val="00806D19"/>
    <w:rsid w:val="0081052F"/>
    <w:rsid w:val="00811EF9"/>
    <w:rsid w:val="008139A4"/>
    <w:rsid w:val="00825897"/>
    <w:rsid w:val="00825E19"/>
    <w:rsid w:val="00830783"/>
    <w:rsid w:val="00830B64"/>
    <w:rsid w:val="00834375"/>
    <w:rsid w:val="0083729A"/>
    <w:rsid w:val="00840735"/>
    <w:rsid w:val="00841426"/>
    <w:rsid w:val="00844532"/>
    <w:rsid w:val="00845960"/>
    <w:rsid w:val="00852FA5"/>
    <w:rsid w:val="00856BFE"/>
    <w:rsid w:val="00860C09"/>
    <w:rsid w:val="00861806"/>
    <w:rsid w:val="0086220E"/>
    <w:rsid w:val="008646A3"/>
    <w:rsid w:val="00866E15"/>
    <w:rsid w:val="008670EF"/>
    <w:rsid w:val="00867FEE"/>
    <w:rsid w:val="008705CD"/>
    <w:rsid w:val="00871DB3"/>
    <w:rsid w:val="008759CB"/>
    <w:rsid w:val="00875D71"/>
    <w:rsid w:val="0088187B"/>
    <w:rsid w:val="00883A5D"/>
    <w:rsid w:val="00887C02"/>
    <w:rsid w:val="00893515"/>
    <w:rsid w:val="00895489"/>
    <w:rsid w:val="008957C8"/>
    <w:rsid w:val="008966C5"/>
    <w:rsid w:val="008974F3"/>
    <w:rsid w:val="008A0984"/>
    <w:rsid w:val="008A47E6"/>
    <w:rsid w:val="008B18E2"/>
    <w:rsid w:val="008B6A69"/>
    <w:rsid w:val="008C0C20"/>
    <w:rsid w:val="008C0C5E"/>
    <w:rsid w:val="008C41ED"/>
    <w:rsid w:val="008C6B1A"/>
    <w:rsid w:val="008D0105"/>
    <w:rsid w:val="008D0B04"/>
    <w:rsid w:val="008D6F0B"/>
    <w:rsid w:val="008D779A"/>
    <w:rsid w:val="008E0BFE"/>
    <w:rsid w:val="008F2F9F"/>
    <w:rsid w:val="008F429A"/>
    <w:rsid w:val="008F607C"/>
    <w:rsid w:val="008F6E55"/>
    <w:rsid w:val="009005CC"/>
    <w:rsid w:val="0090062C"/>
    <w:rsid w:val="00901E4F"/>
    <w:rsid w:val="009032F9"/>
    <w:rsid w:val="009076A0"/>
    <w:rsid w:val="0091185E"/>
    <w:rsid w:val="009135A3"/>
    <w:rsid w:val="00917A93"/>
    <w:rsid w:val="00917F2D"/>
    <w:rsid w:val="00920262"/>
    <w:rsid w:val="009234E5"/>
    <w:rsid w:val="009239DF"/>
    <w:rsid w:val="00932488"/>
    <w:rsid w:val="00935215"/>
    <w:rsid w:val="00940496"/>
    <w:rsid w:val="0094068E"/>
    <w:rsid w:val="00940B6A"/>
    <w:rsid w:val="00943722"/>
    <w:rsid w:val="0094657B"/>
    <w:rsid w:val="00946D01"/>
    <w:rsid w:val="00951960"/>
    <w:rsid w:val="009570E3"/>
    <w:rsid w:val="00964328"/>
    <w:rsid w:val="00964E3A"/>
    <w:rsid w:val="00964FD8"/>
    <w:rsid w:val="00972CD7"/>
    <w:rsid w:val="00977BCC"/>
    <w:rsid w:val="009853DA"/>
    <w:rsid w:val="00985748"/>
    <w:rsid w:val="0099101B"/>
    <w:rsid w:val="009A030F"/>
    <w:rsid w:val="009A0D48"/>
    <w:rsid w:val="009A5375"/>
    <w:rsid w:val="009B2016"/>
    <w:rsid w:val="009B3C73"/>
    <w:rsid w:val="009B7514"/>
    <w:rsid w:val="009C03B8"/>
    <w:rsid w:val="009C57DF"/>
    <w:rsid w:val="009C7BE0"/>
    <w:rsid w:val="009D59BA"/>
    <w:rsid w:val="009D7694"/>
    <w:rsid w:val="009E0933"/>
    <w:rsid w:val="009E24CC"/>
    <w:rsid w:val="009E765B"/>
    <w:rsid w:val="009E7817"/>
    <w:rsid w:val="009F09E4"/>
    <w:rsid w:val="009F51A2"/>
    <w:rsid w:val="009F5B61"/>
    <w:rsid w:val="00A005AD"/>
    <w:rsid w:val="00A047BD"/>
    <w:rsid w:val="00A056CD"/>
    <w:rsid w:val="00A06092"/>
    <w:rsid w:val="00A14569"/>
    <w:rsid w:val="00A202F7"/>
    <w:rsid w:val="00A22070"/>
    <w:rsid w:val="00A22DF9"/>
    <w:rsid w:val="00A23250"/>
    <w:rsid w:val="00A32EED"/>
    <w:rsid w:val="00A41D1C"/>
    <w:rsid w:val="00A42951"/>
    <w:rsid w:val="00A4461E"/>
    <w:rsid w:val="00A457F8"/>
    <w:rsid w:val="00A46971"/>
    <w:rsid w:val="00A51E37"/>
    <w:rsid w:val="00A526D5"/>
    <w:rsid w:val="00A5324A"/>
    <w:rsid w:val="00A63A67"/>
    <w:rsid w:val="00A74A4A"/>
    <w:rsid w:val="00A82151"/>
    <w:rsid w:val="00A85040"/>
    <w:rsid w:val="00A86089"/>
    <w:rsid w:val="00A86CD9"/>
    <w:rsid w:val="00A8776E"/>
    <w:rsid w:val="00A90271"/>
    <w:rsid w:val="00A909B4"/>
    <w:rsid w:val="00A91DFF"/>
    <w:rsid w:val="00A9344A"/>
    <w:rsid w:val="00A95B92"/>
    <w:rsid w:val="00A971EA"/>
    <w:rsid w:val="00A97CA9"/>
    <w:rsid w:val="00AA0761"/>
    <w:rsid w:val="00AA53C9"/>
    <w:rsid w:val="00AA5B5A"/>
    <w:rsid w:val="00AB01B6"/>
    <w:rsid w:val="00AC01CC"/>
    <w:rsid w:val="00AC0E11"/>
    <w:rsid w:val="00AC22B4"/>
    <w:rsid w:val="00AC23FD"/>
    <w:rsid w:val="00AC3952"/>
    <w:rsid w:val="00AD27B1"/>
    <w:rsid w:val="00AD4613"/>
    <w:rsid w:val="00AD4DF1"/>
    <w:rsid w:val="00AE238F"/>
    <w:rsid w:val="00AE4E26"/>
    <w:rsid w:val="00AE567D"/>
    <w:rsid w:val="00AE6836"/>
    <w:rsid w:val="00AF5760"/>
    <w:rsid w:val="00AF64BC"/>
    <w:rsid w:val="00AF723E"/>
    <w:rsid w:val="00B0171D"/>
    <w:rsid w:val="00B0402A"/>
    <w:rsid w:val="00B05DE1"/>
    <w:rsid w:val="00B10A98"/>
    <w:rsid w:val="00B11A15"/>
    <w:rsid w:val="00B14ECC"/>
    <w:rsid w:val="00B22B75"/>
    <w:rsid w:val="00B27DDD"/>
    <w:rsid w:val="00B318B4"/>
    <w:rsid w:val="00B32F7B"/>
    <w:rsid w:val="00B342DC"/>
    <w:rsid w:val="00B349D6"/>
    <w:rsid w:val="00B358C0"/>
    <w:rsid w:val="00B364C2"/>
    <w:rsid w:val="00B50CFE"/>
    <w:rsid w:val="00B56828"/>
    <w:rsid w:val="00B67B68"/>
    <w:rsid w:val="00B67D66"/>
    <w:rsid w:val="00B71A08"/>
    <w:rsid w:val="00B72856"/>
    <w:rsid w:val="00B72B27"/>
    <w:rsid w:val="00B774F1"/>
    <w:rsid w:val="00B802BD"/>
    <w:rsid w:val="00B81ABB"/>
    <w:rsid w:val="00B8593C"/>
    <w:rsid w:val="00B8627B"/>
    <w:rsid w:val="00B86816"/>
    <w:rsid w:val="00B924C1"/>
    <w:rsid w:val="00BA0921"/>
    <w:rsid w:val="00BA1B77"/>
    <w:rsid w:val="00BA2F39"/>
    <w:rsid w:val="00BA6DCD"/>
    <w:rsid w:val="00BB2314"/>
    <w:rsid w:val="00BB581B"/>
    <w:rsid w:val="00BB63AB"/>
    <w:rsid w:val="00BB76B2"/>
    <w:rsid w:val="00BB78A1"/>
    <w:rsid w:val="00BC36F6"/>
    <w:rsid w:val="00BC6A5C"/>
    <w:rsid w:val="00BD0251"/>
    <w:rsid w:val="00BD24B5"/>
    <w:rsid w:val="00BD2CD8"/>
    <w:rsid w:val="00BD3AD9"/>
    <w:rsid w:val="00BD3F8A"/>
    <w:rsid w:val="00BE184A"/>
    <w:rsid w:val="00BE72CD"/>
    <w:rsid w:val="00BE7A24"/>
    <w:rsid w:val="00BF276C"/>
    <w:rsid w:val="00BF6218"/>
    <w:rsid w:val="00BF7792"/>
    <w:rsid w:val="00BF7C94"/>
    <w:rsid w:val="00C03E69"/>
    <w:rsid w:val="00C078EA"/>
    <w:rsid w:val="00C104AB"/>
    <w:rsid w:val="00C10F05"/>
    <w:rsid w:val="00C115BC"/>
    <w:rsid w:val="00C12ECE"/>
    <w:rsid w:val="00C14657"/>
    <w:rsid w:val="00C16F5A"/>
    <w:rsid w:val="00C21DF3"/>
    <w:rsid w:val="00C228A3"/>
    <w:rsid w:val="00C23C79"/>
    <w:rsid w:val="00C30F64"/>
    <w:rsid w:val="00C316DE"/>
    <w:rsid w:val="00C330D0"/>
    <w:rsid w:val="00C35DB7"/>
    <w:rsid w:val="00C37C44"/>
    <w:rsid w:val="00C4017A"/>
    <w:rsid w:val="00C40B4B"/>
    <w:rsid w:val="00C41605"/>
    <w:rsid w:val="00C42745"/>
    <w:rsid w:val="00C44EA7"/>
    <w:rsid w:val="00C456E6"/>
    <w:rsid w:val="00C51EF4"/>
    <w:rsid w:val="00C60519"/>
    <w:rsid w:val="00C60E90"/>
    <w:rsid w:val="00C65224"/>
    <w:rsid w:val="00C7297C"/>
    <w:rsid w:val="00C7675A"/>
    <w:rsid w:val="00C771E9"/>
    <w:rsid w:val="00C81C03"/>
    <w:rsid w:val="00C844D6"/>
    <w:rsid w:val="00C90D2D"/>
    <w:rsid w:val="00C90DE6"/>
    <w:rsid w:val="00C928D1"/>
    <w:rsid w:val="00C92DD4"/>
    <w:rsid w:val="00C93022"/>
    <w:rsid w:val="00C9645A"/>
    <w:rsid w:val="00C96BE2"/>
    <w:rsid w:val="00CA1F1B"/>
    <w:rsid w:val="00CA4719"/>
    <w:rsid w:val="00CB08E4"/>
    <w:rsid w:val="00CB200B"/>
    <w:rsid w:val="00CB343E"/>
    <w:rsid w:val="00CB429B"/>
    <w:rsid w:val="00CB44DE"/>
    <w:rsid w:val="00CC38D0"/>
    <w:rsid w:val="00CC3DDE"/>
    <w:rsid w:val="00CC4115"/>
    <w:rsid w:val="00CC5922"/>
    <w:rsid w:val="00CD770B"/>
    <w:rsid w:val="00CE019B"/>
    <w:rsid w:val="00CE3A6D"/>
    <w:rsid w:val="00CE44CE"/>
    <w:rsid w:val="00CE7DBD"/>
    <w:rsid w:val="00CF0C04"/>
    <w:rsid w:val="00CF1E23"/>
    <w:rsid w:val="00CF241D"/>
    <w:rsid w:val="00CF6431"/>
    <w:rsid w:val="00CF795C"/>
    <w:rsid w:val="00D01F4D"/>
    <w:rsid w:val="00D028AD"/>
    <w:rsid w:val="00D02F9C"/>
    <w:rsid w:val="00D055FF"/>
    <w:rsid w:val="00D06DB0"/>
    <w:rsid w:val="00D13E61"/>
    <w:rsid w:val="00D21A30"/>
    <w:rsid w:val="00D2720D"/>
    <w:rsid w:val="00D31F3C"/>
    <w:rsid w:val="00D33190"/>
    <w:rsid w:val="00D34C66"/>
    <w:rsid w:val="00D416A6"/>
    <w:rsid w:val="00D45808"/>
    <w:rsid w:val="00D5003D"/>
    <w:rsid w:val="00D50AF6"/>
    <w:rsid w:val="00D53536"/>
    <w:rsid w:val="00D55090"/>
    <w:rsid w:val="00D60CE9"/>
    <w:rsid w:val="00D62441"/>
    <w:rsid w:val="00D63315"/>
    <w:rsid w:val="00D661E8"/>
    <w:rsid w:val="00D67553"/>
    <w:rsid w:val="00D73AB3"/>
    <w:rsid w:val="00D73D1E"/>
    <w:rsid w:val="00D73F16"/>
    <w:rsid w:val="00D7408C"/>
    <w:rsid w:val="00D770DD"/>
    <w:rsid w:val="00D7767B"/>
    <w:rsid w:val="00D77F75"/>
    <w:rsid w:val="00D80D08"/>
    <w:rsid w:val="00D856DA"/>
    <w:rsid w:val="00D93AFD"/>
    <w:rsid w:val="00D93DFB"/>
    <w:rsid w:val="00DA06E1"/>
    <w:rsid w:val="00DA3167"/>
    <w:rsid w:val="00DA48DE"/>
    <w:rsid w:val="00DA6F33"/>
    <w:rsid w:val="00DA6F67"/>
    <w:rsid w:val="00DB11CE"/>
    <w:rsid w:val="00DB4D4A"/>
    <w:rsid w:val="00DB4F62"/>
    <w:rsid w:val="00DC0AB1"/>
    <w:rsid w:val="00DC3C30"/>
    <w:rsid w:val="00DC79CD"/>
    <w:rsid w:val="00DD477D"/>
    <w:rsid w:val="00DE0E74"/>
    <w:rsid w:val="00DE55AF"/>
    <w:rsid w:val="00DE7C56"/>
    <w:rsid w:val="00DF101A"/>
    <w:rsid w:val="00DF41E2"/>
    <w:rsid w:val="00DF4E52"/>
    <w:rsid w:val="00E017E3"/>
    <w:rsid w:val="00E02B24"/>
    <w:rsid w:val="00E03F9B"/>
    <w:rsid w:val="00E1002A"/>
    <w:rsid w:val="00E101AE"/>
    <w:rsid w:val="00E12374"/>
    <w:rsid w:val="00E12B09"/>
    <w:rsid w:val="00E2285D"/>
    <w:rsid w:val="00E22AA2"/>
    <w:rsid w:val="00E25912"/>
    <w:rsid w:val="00E25AB6"/>
    <w:rsid w:val="00E27430"/>
    <w:rsid w:val="00E30A82"/>
    <w:rsid w:val="00E40663"/>
    <w:rsid w:val="00E415BB"/>
    <w:rsid w:val="00E42EFB"/>
    <w:rsid w:val="00E432C9"/>
    <w:rsid w:val="00E46262"/>
    <w:rsid w:val="00E50168"/>
    <w:rsid w:val="00E53F90"/>
    <w:rsid w:val="00E55482"/>
    <w:rsid w:val="00E627A4"/>
    <w:rsid w:val="00E62E7A"/>
    <w:rsid w:val="00E646E3"/>
    <w:rsid w:val="00E65205"/>
    <w:rsid w:val="00E72135"/>
    <w:rsid w:val="00E735B0"/>
    <w:rsid w:val="00E74828"/>
    <w:rsid w:val="00E74E56"/>
    <w:rsid w:val="00E778BB"/>
    <w:rsid w:val="00E90779"/>
    <w:rsid w:val="00E90C2C"/>
    <w:rsid w:val="00E9122A"/>
    <w:rsid w:val="00E956CA"/>
    <w:rsid w:val="00EA0479"/>
    <w:rsid w:val="00EA6D02"/>
    <w:rsid w:val="00EB025E"/>
    <w:rsid w:val="00EB34C6"/>
    <w:rsid w:val="00EB3D0E"/>
    <w:rsid w:val="00EC0087"/>
    <w:rsid w:val="00EC0C19"/>
    <w:rsid w:val="00EC0DEB"/>
    <w:rsid w:val="00EC1087"/>
    <w:rsid w:val="00EC2838"/>
    <w:rsid w:val="00EC6355"/>
    <w:rsid w:val="00EC65BF"/>
    <w:rsid w:val="00ED3AE0"/>
    <w:rsid w:val="00ED6ACF"/>
    <w:rsid w:val="00ED77B4"/>
    <w:rsid w:val="00ED783C"/>
    <w:rsid w:val="00EE15A1"/>
    <w:rsid w:val="00EE6272"/>
    <w:rsid w:val="00EE666E"/>
    <w:rsid w:val="00EE73E2"/>
    <w:rsid w:val="00EE7A3E"/>
    <w:rsid w:val="00EF0613"/>
    <w:rsid w:val="00EF3CB7"/>
    <w:rsid w:val="00EF68CD"/>
    <w:rsid w:val="00EF720C"/>
    <w:rsid w:val="00F0081B"/>
    <w:rsid w:val="00F03634"/>
    <w:rsid w:val="00F04A2E"/>
    <w:rsid w:val="00F10A7D"/>
    <w:rsid w:val="00F131EF"/>
    <w:rsid w:val="00F14AFB"/>
    <w:rsid w:val="00F15306"/>
    <w:rsid w:val="00F15E99"/>
    <w:rsid w:val="00F176A2"/>
    <w:rsid w:val="00F176BD"/>
    <w:rsid w:val="00F202FD"/>
    <w:rsid w:val="00F27AB6"/>
    <w:rsid w:val="00F31C07"/>
    <w:rsid w:val="00F34387"/>
    <w:rsid w:val="00F3461D"/>
    <w:rsid w:val="00F40EE7"/>
    <w:rsid w:val="00F421BE"/>
    <w:rsid w:val="00F428BD"/>
    <w:rsid w:val="00F51088"/>
    <w:rsid w:val="00F5144D"/>
    <w:rsid w:val="00F5243C"/>
    <w:rsid w:val="00F558C7"/>
    <w:rsid w:val="00F5672F"/>
    <w:rsid w:val="00F60848"/>
    <w:rsid w:val="00F62874"/>
    <w:rsid w:val="00F65AC1"/>
    <w:rsid w:val="00F6603F"/>
    <w:rsid w:val="00F72106"/>
    <w:rsid w:val="00F72C2F"/>
    <w:rsid w:val="00F7507F"/>
    <w:rsid w:val="00F7635C"/>
    <w:rsid w:val="00F76E8D"/>
    <w:rsid w:val="00F86393"/>
    <w:rsid w:val="00F86671"/>
    <w:rsid w:val="00F94140"/>
    <w:rsid w:val="00F9730D"/>
    <w:rsid w:val="00FA473E"/>
    <w:rsid w:val="00FA494A"/>
    <w:rsid w:val="00FA65AF"/>
    <w:rsid w:val="00FB22DD"/>
    <w:rsid w:val="00FB286A"/>
    <w:rsid w:val="00FB430F"/>
    <w:rsid w:val="00FB5266"/>
    <w:rsid w:val="00FB666F"/>
    <w:rsid w:val="00FC12E3"/>
    <w:rsid w:val="00FC160E"/>
    <w:rsid w:val="00FC2810"/>
    <w:rsid w:val="00FC2E31"/>
    <w:rsid w:val="00FC3529"/>
    <w:rsid w:val="00FD2C7F"/>
    <w:rsid w:val="00FD7D27"/>
    <w:rsid w:val="00FE2480"/>
    <w:rsid w:val="00FF25BC"/>
    <w:rsid w:val="00FF27B7"/>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42F0"/>
  <w15:chartTrackingRefBased/>
  <w15:docId w15:val="{A31C0ED8-9266-4820-8C63-B8FAB6A1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639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305F3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6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365"/>
  </w:style>
  <w:style w:type="paragraph" w:styleId="Footer">
    <w:name w:val="footer"/>
    <w:basedOn w:val="Normal"/>
    <w:link w:val="FooterChar"/>
    <w:uiPriority w:val="99"/>
    <w:unhideWhenUsed/>
    <w:rsid w:val="000F6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365"/>
  </w:style>
  <w:style w:type="character" w:customStyle="1" w:styleId="Heading3Char">
    <w:name w:val="Heading 3 Char"/>
    <w:basedOn w:val="DefaultParagraphFont"/>
    <w:link w:val="Heading3"/>
    <w:uiPriority w:val="9"/>
    <w:rsid w:val="000639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39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98E"/>
    <w:rPr>
      <w:b/>
      <w:bCs/>
    </w:rPr>
  </w:style>
  <w:style w:type="character" w:styleId="Hyperlink">
    <w:name w:val="Hyperlink"/>
    <w:basedOn w:val="DefaultParagraphFont"/>
    <w:uiPriority w:val="99"/>
    <w:unhideWhenUsed/>
    <w:rsid w:val="0006398E"/>
    <w:rPr>
      <w:color w:val="0000FF"/>
      <w:u w:val="single"/>
    </w:rPr>
  </w:style>
  <w:style w:type="character" w:styleId="Emphasis">
    <w:name w:val="Emphasis"/>
    <w:basedOn w:val="DefaultParagraphFont"/>
    <w:uiPriority w:val="20"/>
    <w:qFormat/>
    <w:rsid w:val="0006398E"/>
    <w:rPr>
      <w:i/>
      <w:iCs/>
    </w:rPr>
  </w:style>
  <w:style w:type="character" w:customStyle="1" w:styleId="html-italic">
    <w:name w:val="html-italic"/>
    <w:basedOn w:val="DefaultParagraphFont"/>
    <w:rsid w:val="00BF7C94"/>
  </w:style>
  <w:style w:type="character" w:styleId="UnresolvedMention">
    <w:name w:val="Unresolved Mention"/>
    <w:basedOn w:val="DefaultParagraphFont"/>
    <w:uiPriority w:val="99"/>
    <w:semiHidden/>
    <w:unhideWhenUsed/>
    <w:rsid w:val="00305F32"/>
    <w:rPr>
      <w:color w:val="605E5C"/>
      <w:shd w:val="clear" w:color="auto" w:fill="E1DFDD"/>
    </w:rPr>
  </w:style>
  <w:style w:type="character" w:customStyle="1" w:styleId="Heading6Char">
    <w:name w:val="Heading 6 Char"/>
    <w:basedOn w:val="DefaultParagraphFont"/>
    <w:link w:val="Heading6"/>
    <w:uiPriority w:val="9"/>
    <w:semiHidden/>
    <w:rsid w:val="00305F3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951960"/>
    <w:pPr>
      <w:ind w:left="720"/>
      <w:contextualSpacing/>
    </w:pPr>
  </w:style>
  <w:style w:type="character" w:customStyle="1" w:styleId="fontstyle01">
    <w:name w:val="fontstyle01"/>
    <w:basedOn w:val="DefaultParagraphFont"/>
    <w:rsid w:val="00B22B75"/>
    <w:rPr>
      <w:rFonts w:ascii="AdvOT303e83b8" w:hAnsi="AdvOT303e83b8" w:hint="default"/>
      <w:b w:val="0"/>
      <w:bCs w:val="0"/>
      <w:i w:val="0"/>
      <w:iCs w:val="0"/>
      <w:color w:val="231F20"/>
      <w:sz w:val="18"/>
      <w:szCs w:val="18"/>
    </w:rPr>
  </w:style>
  <w:style w:type="character" w:styleId="PlaceholderText">
    <w:name w:val="Placeholder Text"/>
    <w:basedOn w:val="DefaultParagraphFont"/>
    <w:uiPriority w:val="99"/>
    <w:semiHidden/>
    <w:rsid w:val="0074048B"/>
    <w:rPr>
      <w:color w:val="808080"/>
    </w:rPr>
  </w:style>
  <w:style w:type="character" w:styleId="LineNumber">
    <w:name w:val="line number"/>
    <w:basedOn w:val="DefaultParagraphFont"/>
    <w:uiPriority w:val="99"/>
    <w:semiHidden/>
    <w:unhideWhenUsed/>
    <w:rsid w:val="00E4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555">
      <w:bodyDiv w:val="1"/>
      <w:marLeft w:val="0"/>
      <w:marRight w:val="0"/>
      <w:marTop w:val="0"/>
      <w:marBottom w:val="0"/>
      <w:divBdr>
        <w:top w:val="none" w:sz="0" w:space="0" w:color="auto"/>
        <w:left w:val="none" w:sz="0" w:space="0" w:color="auto"/>
        <w:bottom w:val="none" w:sz="0" w:space="0" w:color="auto"/>
        <w:right w:val="none" w:sz="0" w:space="0" w:color="auto"/>
      </w:divBdr>
    </w:div>
    <w:div w:id="18747453">
      <w:bodyDiv w:val="1"/>
      <w:marLeft w:val="0"/>
      <w:marRight w:val="0"/>
      <w:marTop w:val="0"/>
      <w:marBottom w:val="0"/>
      <w:divBdr>
        <w:top w:val="none" w:sz="0" w:space="0" w:color="auto"/>
        <w:left w:val="none" w:sz="0" w:space="0" w:color="auto"/>
        <w:bottom w:val="none" w:sz="0" w:space="0" w:color="auto"/>
        <w:right w:val="none" w:sz="0" w:space="0" w:color="auto"/>
      </w:divBdr>
    </w:div>
    <w:div w:id="20977092">
      <w:bodyDiv w:val="1"/>
      <w:marLeft w:val="0"/>
      <w:marRight w:val="0"/>
      <w:marTop w:val="0"/>
      <w:marBottom w:val="0"/>
      <w:divBdr>
        <w:top w:val="none" w:sz="0" w:space="0" w:color="auto"/>
        <w:left w:val="none" w:sz="0" w:space="0" w:color="auto"/>
        <w:bottom w:val="none" w:sz="0" w:space="0" w:color="auto"/>
        <w:right w:val="none" w:sz="0" w:space="0" w:color="auto"/>
      </w:divBdr>
      <w:divsChild>
        <w:div w:id="1939361790">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583955524">
                  <w:marLeft w:val="0"/>
                  <w:marRight w:val="0"/>
                  <w:marTop w:val="0"/>
                  <w:marBottom w:val="0"/>
                  <w:divBdr>
                    <w:top w:val="none" w:sz="0" w:space="0" w:color="auto"/>
                    <w:left w:val="none" w:sz="0" w:space="0" w:color="auto"/>
                    <w:bottom w:val="none" w:sz="0" w:space="0" w:color="auto"/>
                    <w:right w:val="none" w:sz="0" w:space="0" w:color="auto"/>
                  </w:divBdr>
                  <w:divsChild>
                    <w:div w:id="692727048">
                      <w:marLeft w:val="0"/>
                      <w:marRight w:val="0"/>
                      <w:marTop w:val="0"/>
                      <w:marBottom w:val="0"/>
                      <w:divBdr>
                        <w:top w:val="none" w:sz="0" w:space="0" w:color="auto"/>
                        <w:left w:val="none" w:sz="0" w:space="0" w:color="auto"/>
                        <w:bottom w:val="none" w:sz="0" w:space="0" w:color="auto"/>
                        <w:right w:val="none" w:sz="0" w:space="0" w:color="auto"/>
                      </w:divBdr>
                      <w:divsChild>
                        <w:div w:id="13296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729">
                  <w:marLeft w:val="0"/>
                  <w:marRight w:val="0"/>
                  <w:marTop w:val="0"/>
                  <w:marBottom w:val="0"/>
                  <w:divBdr>
                    <w:top w:val="none" w:sz="0" w:space="0" w:color="auto"/>
                    <w:left w:val="none" w:sz="0" w:space="0" w:color="auto"/>
                    <w:bottom w:val="none" w:sz="0" w:space="0" w:color="auto"/>
                    <w:right w:val="none" w:sz="0" w:space="0" w:color="auto"/>
                  </w:divBdr>
                  <w:divsChild>
                    <w:div w:id="523322054">
                      <w:marLeft w:val="0"/>
                      <w:marRight w:val="0"/>
                      <w:marTop w:val="0"/>
                      <w:marBottom w:val="0"/>
                      <w:divBdr>
                        <w:top w:val="none" w:sz="0" w:space="0" w:color="auto"/>
                        <w:left w:val="none" w:sz="0" w:space="0" w:color="auto"/>
                        <w:bottom w:val="none" w:sz="0" w:space="0" w:color="auto"/>
                        <w:right w:val="none" w:sz="0" w:space="0" w:color="auto"/>
                      </w:divBdr>
                      <w:divsChild>
                        <w:div w:id="1154568155">
                          <w:marLeft w:val="0"/>
                          <w:marRight w:val="0"/>
                          <w:marTop w:val="0"/>
                          <w:marBottom w:val="0"/>
                          <w:divBdr>
                            <w:top w:val="none" w:sz="0" w:space="0" w:color="auto"/>
                            <w:left w:val="none" w:sz="0" w:space="0" w:color="auto"/>
                            <w:bottom w:val="none" w:sz="0" w:space="0" w:color="auto"/>
                            <w:right w:val="none" w:sz="0" w:space="0" w:color="auto"/>
                          </w:divBdr>
                          <w:divsChild>
                            <w:div w:id="1351026186">
                              <w:marLeft w:val="0"/>
                              <w:marRight w:val="0"/>
                              <w:marTop w:val="0"/>
                              <w:marBottom w:val="0"/>
                              <w:divBdr>
                                <w:top w:val="none" w:sz="0" w:space="0" w:color="auto"/>
                                <w:left w:val="none" w:sz="0" w:space="0" w:color="auto"/>
                                <w:bottom w:val="none" w:sz="0" w:space="0" w:color="auto"/>
                                <w:right w:val="none" w:sz="0" w:space="0" w:color="auto"/>
                              </w:divBdr>
                              <w:divsChild>
                                <w:div w:id="2129615530">
                                  <w:marLeft w:val="0"/>
                                  <w:marRight w:val="0"/>
                                  <w:marTop w:val="0"/>
                                  <w:marBottom w:val="0"/>
                                  <w:divBdr>
                                    <w:top w:val="none" w:sz="0" w:space="0" w:color="auto"/>
                                    <w:left w:val="none" w:sz="0" w:space="0" w:color="auto"/>
                                    <w:bottom w:val="none" w:sz="0" w:space="0" w:color="auto"/>
                                    <w:right w:val="none" w:sz="0" w:space="0" w:color="auto"/>
                                  </w:divBdr>
                                  <w:divsChild>
                                    <w:div w:id="11538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14957">
                  <w:marLeft w:val="0"/>
                  <w:marRight w:val="0"/>
                  <w:marTop w:val="0"/>
                  <w:marBottom w:val="0"/>
                  <w:divBdr>
                    <w:top w:val="none" w:sz="0" w:space="0" w:color="auto"/>
                    <w:left w:val="none" w:sz="0" w:space="0" w:color="auto"/>
                    <w:bottom w:val="none" w:sz="0" w:space="0" w:color="auto"/>
                    <w:right w:val="none" w:sz="0" w:space="0" w:color="auto"/>
                  </w:divBdr>
                  <w:divsChild>
                    <w:div w:id="1707754314">
                      <w:marLeft w:val="0"/>
                      <w:marRight w:val="0"/>
                      <w:marTop w:val="0"/>
                      <w:marBottom w:val="0"/>
                      <w:divBdr>
                        <w:top w:val="none" w:sz="0" w:space="0" w:color="auto"/>
                        <w:left w:val="none" w:sz="0" w:space="0" w:color="auto"/>
                        <w:bottom w:val="none" w:sz="0" w:space="0" w:color="auto"/>
                        <w:right w:val="none" w:sz="0" w:space="0" w:color="auto"/>
                      </w:divBdr>
                      <w:divsChild>
                        <w:div w:id="1033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08092">
          <w:marLeft w:val="0"/>
          <w:marRight w:val="0"/>
          <w:marTop w:val="0"/>
          <w:marBottom w:val="0"/>
          <w:divBdr>
            <w:top w:val="none" w:sz="0" w:space="0" w:color="auto"/>
            <w:left w:val="none" w:sz="0" w:space="0" w:color="auto"/>
            <w:bottom w:val="none" w:sz="0" w:space="0" w:color="auto"/>
            <w:right w:val="none" w:sz="0" w:space="0" w:color="auto"/>
          </w:divBdr>
          <w:divsChild>
            <w:div w:id="113181742">
              <w:marLeft w:val="0"/>
              <w:marRight w:val="0"/>
              <w:marTop w:val="0"/>
              <w:marBottom w:val="0"/>
              <w:divBdr>
                <w:top w:val="none" w:sz="0" w:space="0" w:color="auto"/>
                <w:left w:val="none" w:sz="0" w:space="0" w:color="auto"/>
                <w:bottom w:val="none" w:sz="0" w:space="0" w:color="auto"/>
                <w:right w:val="none" w:sz="0" w:space="0" w:color="auto"/>
              </w:divBdr>
              <w:divsChild>
                <w:div w:id="203952602">
                  <w:marLeft w:val="0"/>
                  <w:marRight w:val="0"/>
                  <w:marTop w:val="0"/>
                  <w:marBottom w:val="0"/>
                  <w:divBdr>
                    <w:top w:val="none" w:sz="0" w:space="0" w:color="auto"/>
                    <w:left w:val="none" w:sz="0" w:space="0" w:color="auto"/>
                    <w:bottom w:val="none" w:sz="0" w:space="0" w:color="auto"/>
                    <w:right w:val="none" w:sz="0" w:space="0" w:color="auto"/>
                  </w:divBdr>
                  <w:divsChild>
                    <w:div w:id="1496415107">
                      <w:marLeft w:val="0"/>
                      <w:marRight w:val="0"/>
                      <w:marTop w:val="300"/>
                      <w:marBottom w:val="300"/>
                      <w:divBdr>
                        <w:top w:val="none" w:sz="0" w:space="0" w:color="auto"/>
                        <w:left w:val="none" w:sz="0" w:space="0" w:color="auto"/>
                        <w:bottom w:val="none" w:sz="0" w:space="0" w:color="auto"/>
                        <w:right w:val="none" w:sz="0" w:space="0" w:color="auto"/>
                      </w:divBdr>
                      <w:divsChild>
                        <w:div w:id="14058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7476">
                  <w:marLeft w:val="0"/>
                  <w:marRight w:val="0"/>
                  <w:marTop w:val="0"/>
                  <w:marBottom w:val="0"/>
                  <w:divBdr>
                    <w:top w:val="none" w:sz="0" w:space="0" w:color="auto"/>
                    <w:left w:val="none" w:sz="0" w:space="0" w:color="auto"/>
                    <w:bottom w:val="none" w:sz="0" w:space="0" w:color="auto"/>
                    <w:right w:val="none" w:sz="0" w:space="0" w:color="auto"/>
                  </w:divBdr>
                  <w:divsChild>
                    <w:div w:id="556432558">
                      <w:marLeft w:val="0"/>
                      <w:marRight w:val="0"/>
                      <w:marTop w:val="0"/>
                      <w:marBottom w:val="0"/>
                      <w:divBdr>
                        <w:top w:val="none" w:sz="0" w:space="0" w:color="auto"/>
                        <w:left w:val="none" w:sz="0" w:space="0" w:color="auto"/>
                        <w:bottom w:val="none" w:sz="0" w:space="0" w:color="auto"/>
                        <w:right w:val="none" w:sz="0" w:space="0" w:color="auto"/>
                      </w:divBdr>
                      <w:divsChild>
                        <w:div w:id="13904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4928">
      <w:bodyDiv w:val="1"/>
      <w:marLeft w:val="0"/>
      <w:marRight w:val="0"/>
      <w:marTop w:val="0"/>
      <w:marBottom w:val="0"/>
      <w:divBdr>
        <w:top w:val="none" w:sz="0" w:space="0" w:color="auto"/>
        <w:left w:val="none" w:sz="0" w:space="0" w:color="auto"/>
        <w:bottom w:val="none" w:sz="0" w:space="0" w:color="auto"/>
        <w:right w:val="none" w:sz="0" w:space="0" w:color="auto"/>
      </w:divBdr>
    </w:div>
    <w:div w:id="134421599">
      <w:bodyDiv w:val="1"/>
      <w:marLeft w:val="0"/>
      <w:marRight w:val="0"/>
      <w:marTop w:val="0"/>
      <w:marBottom w:val="0"/>
      <w:divBdr>
        <w:top w:val="none" w:sz="0" w:space="0" w:color="auto"/>
        <w:left w:val="none" w:sz="0" w:space="0" w:color="auto"/>
        <w:bottom w:val="none" w:sz="0" w:space="0" w:color="auto"/>
        <w:right w:val="none" w:sz="0" w:space="0" w:color="auto"/>
      </w:divBdr>
    </w:div>
    <w:div w:id="138116937">
      <w:bodyDiv w:val="1"/>
      <w:marLeft w:val="0"/>
      <w:marRight w:val="0"/>
      <w:marTop w:val="0"/>
      <w:marBottom w:val="0"/>
      <w:divBdr>
        <w:top w:val="none" w:sz="0" w:space="0" w:color="auto"/>
        <w:left w:val="none" w:sz="0" w:space="0" w:color="auto"/>
        <w:bottom w:val="none" w:sz="0" w:space="0" w:color="auto"/>
        <w:right w:val="none" w:sz="0" w:space="0" w:color="auto"/>
      </w:divBdr>
    </w:div>
    <w:div w:id="155726502">
      <w:bodyDiv w:val="1"/>
      <w:marLeft w:val="0"/>
      <w:marRight w:val="0"/>
      <w:marTop w:val="0"/>
      <w:marBottom w:val="0"/>
      <w:divBdr>
        <w:top w:val="none" w:sz="0" w:space="0" w:color="auto"/>
        <w:left w:val="none" w:sz="0" w:space="0" w:color="auto"/>
        <w:bottom w:val="none" w:sz="0" w:space="0" w:color="auto"/>
        <w:right w:val="none" w:sz="0" w:space="0" w:color="auto"/>
      </w:divBdr>
    </w:div>
    <w:div w:id="167410759">
      <w:bodyDiv w:val="1"/>
      <w:marLeft w:val="0"/>
      <w:marRight w:val="0"/>
      <w:marTop w:val="0"/>
      <w:marBottom w:val="0"/>
      <w:divBdr>
        <w:top w:val="none" w:sz="0" w:space="0" w:color="auto"/>
        <w:left w:val="none" w:sz="0" w:space="0" w:color="auto"/>
        <w:bottom w:val="none" w:sz="0" w:space="0" w:color="auto"/>
        <w:right w:val="none" w:sz="0" w:space="0" w:color="auto"/>
      </w:divBdr>
    </w:div>
    <w:div w:id="234631131">
      <w:bodyDiv w:val="1"/>
      <w:marLeft w:val="0"/>
      <w:marRight w:val="0"/>
      <w:marTop w:val="0"/>
      <w:marBottom w:val="0"/>
      <w:divBdr>
        <w:top w:val="none" w:sz="0" w:space="0" w:color="auto"/>
        <w:left w:val="none" w:sz="0" w:space="0" w:color="auto"/>
        <w:bottom w:val="none" w:sz="0" w:space="0" w:color="auto"/>
        <w:right w:val="none" w:sz="0" w:space="0" w:color="auto"/>
      </w:divBdr>
    </w:div>
    <w:div w:id="242837301">
      <w:bodyDiv w:val="1"/>
      <w:marLeft w:val="0"/>
      <w:marRight w:val="0"/>
      <w:marTop w:val="0"/>
      <w:marBottom w:val="0"/>
      <w:divBdr>
        <w:top w:val="none" w:sz="0" w:space="0" w:color="auto"/>
        <w:left w:val="none" w:sz="0" w:space="0" w:color="auto"/>
        <w:bottom w:val="none" w:sz="0" w:space="0" w:color="auto"/>
        <w:right w:val="none" w:sz="0" w:space="0" w:color="auto"/>
      </w:divBdr>
    </w:div>
    <w:div w:id="256332855">
      <w:bodyDiv w:val="1"/>
      <w:marLeft w:val="0"/>
      <w:marRight w:val="0"/>
      <w:marTop w:val="0"/>
      <w:marBottom w:val="0"/>
      <w:divBdr>
        <w:top w:val="none" w:sz="0" w:space="0" w:color="auto"/>
        <w:left w:val="none" w:sz="0" w:space="0" w:color="auto"/>
        <w:bottom w:val="none" w:sz="0" w:space="0" w:color="auto"/>
        <w:right w:val="none" w:sz="0" w:space="0" w:color="auto"/>
      </w:divBdr>
    </w:div>
    <w:div w:id="257375684">
      <w:bodyDiv w:val="1"/>
      <w:marLeft w:val="0"/>
      <w:marRight w:val="0"/>
      <w:marTop w:val="0"/>
      <w:marBottom w:val="0"/>
      <w:divBdr>
        <w:top w:val="none" w:sz="0" w:space="0" w:color="auto"/>
        <w:left w:val="none" w:sz="0" w:space="0" w:color="auto"/>
        <w:bottom w:val="none" w:sz="0" w:space="0" w:color="auto"/>
        <w:right w:val="none" w:sz="0" w:space="0" w:color="auto"/>
      </w:divBdr>
    </w:div>
    <w:div w:id="270742454">
      <w:bodyDiv w:val="1"/>
      <w:marLeft w:val="0"/>
      <w:marRight w:val="0"/>
      <w:marTop w:val="0"/>
      <w:marBottom w:val="0"/>
      <w:divBdr>
        <w:top w:val="none" w:sz="0" w:space="0" w:color="auto"/>
        <w:left w:val="none" w:sz="0" w:space="0" w:color="auto"/>
        <w:bottom w:val="none" w:sz="0" w:space="0" w:color="auto"/>
        <w:right w:val="none" w:sz="0" w:space="0" w:color="auto"/>
      </w:divBdr>
    </w:div>
    <w:div w:id="284309621">
      <w:bodyDiv w:val="1"/>
      <w:marLeft w:val="0"/>
      <w:marRight w:val="0"/>
      <w:marTop w:val="0"/>
      <w:marBottom w:val="0"/>
      <w:divBdr>
        <w:top w:val="none" w:sz="0" w:space="0" w:color="auto"/>
        <w:left w:val="none" w:sz="0" w:space="0" w:color="auto"/>
        <w:bottom w:val="none" w:sz="0" w:space="0" w:color="auto"/>
        <w:right w:val="none" w:sz="0" w:space="0" w:color="auto"/>
      </w:divBdr>
    </w:div>
    <w:div w:id="291716006">
      <w:bodyDiv w:val="1"/>
      <w:marLeft w:val="0"/>
      <w:marRight w:val="0"/>
      <w:marTop w:val="0"/>
      <w:marBottom w:val="0"/>
      <w:divBdr>
        <w:top w:val="none" w:sz="0" w:space="0" w:color="auto"/>
        <w:left w:val="none" w:sz="0" w:space="0" w:color="auto"/>
        <w:bottom w:val="none" w:sz="0" w:space="0" w:color="auto"/>
        <w:right w:val="none" w:sz="0" w:space="0" w:color="auto"/>
      </w:divBdr>
    </w:div>
    <w:div w:id="349381465">
      <w:bodyDiv w:val="1"/>
      <w:marLeft w:val="0"/>
      <w:marRight w:val="0"/>
      <w:marTop w:val="0"/>
      <w:marBottom w:val="0"/>
      <w:divBdr>
        <w:top w:val="none" w:sz="0" w:space="0" w:color="auto"/>
        <w:left w:val="none" w:sz="0" w:space="0" w:color="auto"/>
        <w:bottom w:val="none" w:sz="0" w:space="0" w:color="auto"/>
        <w:right w:val="none" w:sz="0" w:space="0" w:color="auto"/>
      </w:divBdr>
    </w:div>
    <w:div w:id="488249086">
      <w:bodyDiv w:val="1"/>
      <w:marLeft w:val="0"/>
      <w:marRight w:val="0"/>
      <w:marTop w:val="0"/>
      <w:marBottom w:val="0"/>
      <w:divBdr>
        <w:top w:val="none" w:sz="0" w:space="0" w:color="auto"/>
        <w:left w:val="none" w:sz="0" w:space="0" w:color="auto"/>
        <w:bottom w:val="none" w:sz="0" w:space="0" w:color="auto"/>
        <w:right w:val="none" w:sz="0" w:space="0" w:color="auto"/>
      </w:divBdr>
    </w:div>
    <w:div w:id="499390083">
      <w:bodyDiv w:val="1"/>
      <w:marLeft w:val="0"/>
      <w:marRight w:val="0"/>
      <w:marTop w:val="0"/>
      <w:marBottom w:val="0"/>
      <w:divBdr>
        <w:top w:val="none" w:sz="0" w:space="0" w:color="auto"/>
        <w:left w:val="none" w:sz="0" w:space="0" w:color="auto"/>
        <w:bottom w:val="none" w:sz="0" w:space="0" w:color="auto"/>
        <w:right w:val="none" w:sz="0" w:space="0" w:color="auto"/>
      </w:divBdr>
    </w:div>
    <w:div w:id="537284558">
      <w:bodyDiv w:val="1"/>
      <w:marLeft w:val="0"/>
      <w:marRight w:val="0"/>
      <w:marTop w:val="0"/>
      <w:marBottom w:val="0"/>
      <w:divBdr>
        <w:top w:val="none" w:sz="0" w:space="0" w:color="auto"/>
        <w:left w:val="none" w:sz="0" w:space="0" w:color="auto"/>
        <w:bottom w:val="none" w:sz="0" w:space="0" w:color="auto"/>
        <w:right w:val="none" w:sz="0" w:space="0" w:color="auto"/>
      </w:divBdr>
    </w:div>
    <w:div w:id="546769801">
      <w:bodyDiv w:val="1"/>
      <w:marLeft w:val="0"/>
      <w:marRight w:val="0"/>
      <w:marTop w:val="0"/>
      <w:marBottom w:val="0"/>
      <w:divBdr>
        <w:top w:val="none" w:sz="0" w:space="0" w:color="auto"/>
        <w:left w:val="none" w:sz="0" w:space="0" w:color="auto"/>
        <w:bottom w:val="none" w:sz="0" w:space="0" w:color="auto"/>
        <w:right w:val="none" w:sz="0" w:space="0" w:color="auto"/>
      </w:divBdr>
    </w:div>
    <w:div w:id="573583984">
      <w:bodyDiv w:val="1"/>
      <w:marLeft w:val="0"/>
      <w:marRight w:val="0"/>
      <w:marTop w:val="0"/>
      <w:marBottom w:val="0"/>
      <w:divBdr>
        <w:top w:val="none" w:sz="0" w:space="0" w:color="auto"/>
        <w:left w:val="none" w:sz="0" w:space="0" w:color="auto"/>
        <w:bottom w:val="none" w:sz="0" w:space="0" w:color="auto"/>
        <w:right w:val="none" w:sz="0" w:space="0" w:color="auto"/>
      </w:divBdr>
    </w:div>
    <w:div w:id="586112398">
      <w:bodyDiv w:val="1"/>
      <w:marLeft w:val="0"/>
      <w:marRight w:val="0"/>
      <w:marTop w:val="0"/>
      <w:marBottom w:val="0"/>
      <w:divBdr>
        <w:top w:val="none" w:sz="0" w:space="0" w:color="auto"/>
        <w:left w:val="none" w:sz="0" w:space="0" w:color="auto"/>
        <w:bottom w:val="none" w:sz="0" w:space="0" w:color="auto"/>
        <w:right w:val="none" w:sz="0" w:space="0" w:color="auto"/>
      </w:divBdr>
    </w:div>
    <w:div w:id="661196583">
      <w:bodyDiv w:val="1"/>
      <w:marLeft w:val="0"/>
      <w:marRight w:val="0"/>
      <w:marTop w:val="0"/>
      <w:marBottom w:val="0"/>
      <w:divBdr>
        <w:top w:val="none" w:sz="0" w:space="0" w:color="auto"/>
        <w:left w:val="none" w:sz="0" w:space="0" w:color="auto"/>
        <w:bottom w:val="none" w:sz="0" w:space="0" w:color="auto"/>
        <w:right w:val="none" w:sz="0" w:space="0" w:color="auto"/>
      </w:divBdr>
    </w:div>
    <w:div w:id="756483793">
      <w:bodyDiv w:val="1"/>
      <w:marLeft w:val="0"/>
      <w:marRight w:val="0"/>
      <w:marTop w:val="0"/>
      <w:marBottom w:val="0"/>
      <w:divBdr>
        <w:top w:val="none" w:sz="0" w:space="0" w:color="auto"/>
        <w:left w:val="none" w:sz="0" w:space="0" w:color="auto"/>
        <w:bottom w:val="none" w:sz="0" w:space="0" w:color="auto"/>
        <w:right w:val="none" w:sz="0" w:space="0" w:color="auto"/>
      </w:divBdr>
    </w:div>
    <w:div w:id="765809516">
      <w:bodyDiv w:val="1"/>
      <w:marLeft w:val="0"/>
      <w:marRight w:val="0"/>
      <w:marTop w:val="0"/>
      <w:marBottom w:val="0"/>
      <w:divBdr>
        <w:top w:val="none" w:sz="0" w:space="0" w:color="auto"/>
        <w:left w:val="none" w:sz="0" w:space="0" w:color="auto"/>
        <w:bottom w:val="none" w:sz="0" w:space="0" w:color="auto"/>
        <w:right w:val="none" w:sz="0" w:space="0" w:color="auto"/>
      </w:divBdr>
    </w:div>
    <w:div w:id="785580554">
      <w:bodyDiv w:val="1"/>
      <w:marLeft w:val="0"/>
      <w:marRight w:val="0"/>
      <w:marTop w:val="0"/>
      <w:marBottom w:val="0"/>
      <w:divBdr>
        <w:top w:val="none" w:sz="0" w:space="0" w:color="auto"/>
        <w:left w:val="none" w:sz="0" w:space="0" w:color="auto"/>
        <w:bottom w:val="none" w:sz="0" w:space="0" w:color="auto"/>
        <w:right w:val="none" w:sz="0" w:space="0" w:color="auto"/>
      </w:divBdr>
    </w:div>
    <w:div w:id="793015608">
      <w:bodyDiv w:val="1"/>
      <w:marLeft w:val="0"/>
      <w:marRight w:val="0"/>
      <w:marTop w:val="0"/>
      <w:marBottom w:val="0"/>
      <w:divBdr>
        <w:top w:val="none" w:sz="0" w:space="0" w:color="auto"/>
        <w:left w:val="none" w:sz="0" w:space="0" w:color="auto"/>
        <w:bottom w:val="none" w:sz="0" w:space="0" w:color="auto"/>
        <w:right w:val="none" w:sz="0" w:space="0" w:color="auto"/>
      </w:divBdr>
    </w:div>
    <w:div w:id="796024541">
      <w:bodyDiv w:val="1"/>
      <w:marLeft w:val="0"/>
      <w:marRight w:val="0"/>
      <w:marTop w:val="0"/>
      <w:marBottom w:val="0"/>
      <w:divBdr>
        <w:top w:val="none" w:sz="0" w:space="0" w:color="auto"/>
        <w:left w:val="none" w:sz="0" w:space="0" w:color="auto"/>
        <w:bottom w:val="none" w:sz="0" w:space="0" w:color="auto"/>
        <w:right w:val="none" w:sz="0" w:space="0" w:color="auto"/>
      </w:divBdr>
    </w:div>
    <w:div w:id="861747126">
      <w:bodyDiv w:val="1"/>
      <w:marLeft w:val="0"/>
      <w:marRight w:val="0"/>
      <w:marTop w:val="0"/>
      <w:marBottom w:val="0"/>
      <w:divBdr>
        <w:top w:val="none" w:sz="0" w:space="0" w:color="auto"/>
        <w:left w:val="none" w:sz="0" w:space="0" w:color="auto"/>
        <w:bottom w:val="none" w:sz="0" w:space="0" w:color="auto"/>
        <w:right w:val="none" w:sz="0" w:space="0" w:color="auto"/>
      </w:divBdr>
    </w:div>
    <w:div w:id="880937716">
      <w:bodyDiv w:val="1"/>
      <w:marLeft w:val="0"/>
      <w:marRight w:val="0"/>
      <w:marTop w:val="0"/>
      <w:marBottom w:val="0"/>
      <w:divBdr>
        <w:top w:val="none" w:sz="0" w:space="0" w:color="auto"/>
        <w:left w:val="none" w:sz="0" w:space="0" w:color="auto"/>
        <w:bottom w:val="none" w:sz="0" w:space="0" w:color="auto"/>
        <w:right w:val="none" w:sz="0" w:space="0" w:color="auto"/>
      </w:divBdr>
    </w:div>
    <w:div w:id="919870141">
      <w:bodyDiv w:val="1"/>
      <w:marLeft w:val="0"/>
      <w:marRight w:val="0"/>
      <w:marTop w:val="0"/>
      <w:marBottom w:val="0"/>
      <w:divBdr>
        <w:top w:val="none" w:sz="0" w:space="0" w:color="auto"/>
        <w:left w:val="none" w:sz="0" w:space="0" w:color="auto"/>
        <w:bottom w:val="none" w:sz="0" w:space="0" w:color="auto"/>
        <w:right w:val="none" w:sz="0" w:space="0" w:color="auto"/>
      </w:divBdr>
    </w:div>
    <w:div w:id="924071778">
      <w:bodyDiv w:val="1"/>
      <w:marLeft w:val="0"/>
      <w:marRight w:val="0"/>
      <w:marTop w:val="0"/>
      <w:marBottom w:val="0"/>
      <w:divBdr>
        <w:top w:val="none" w:sz="0" w:space="0" w:color="auto"/>
        <w:left w:val="none" w:sz="0" w:space="0" w:color="auto"/>
        <w:bottom w:val="none" w:sz="0" w:space="0" w:color="auto"/>
        <w:right w:val="none" w:sz="0" w:space="0" w:color="auto"/>
      </w:divBdr>
    </w:div>
    <w:div w:id="924998808">
      <w:bodyDiv w:val="1"/>
      <w:marLeft w:val="0"/>
      <w:marRight w:val="0"/>
      <w:marTop w:val="0"/>
      <w:marBottom w:val="0"/>
      <w:divBdr>
        <w:top w:val="none" w:sz="0" w:space="0" w:color="auto"/>
        <w:left w:val="none" w:sz="0" w:space="0" w:color="auto"/>
        <w:bottom w:val="none" w:sz="0" w:space="0" w:color="auto"/>
        <w:right w:val="none" w:sz="0" w:space="0" w:color="auto"/>
      </w:divBdr>
    </w:div>
    <w:div w:id="926613520">
      <w:bodyDiv w:val="1"/>
      <w:marLeft w:val="0"/>
      <w:marRight w:val="0"/>
      <w:marTop w:val="0"/>
      <w:marBottom w:val="0"/>
      <w:divBdr>
        <w:top w:val="none" w:sz="0" w:space="0" w:color="auto"/>
        <w:left w:val="none" w:sz="0" w:space="0" w:color="auto"/>
        <w:bottom w:val="none" w:sz="0" w:space="0" w:color="auto"/>
        <w:right w:val="none" w:sz="0" w:space="0" w:color="auto"/>
      </w:divBdr>
    </w:div>
    <w:div w:id="940340468">
      <w:bodyDiv w:val="1"/>
      <w:marLeft w:val="0"/>
      <w:marRight w:val="0"/>
      <w:marTop w:val="0"/>
      <w:marBottom w:val="0"/>
      <w:divBdr>
        <w:top w:val="none" w:sz="0" w:space="0" w:color="auto"/>
        <w:left w:val="none" w:sz="0" w:space="0" w:color="auto"/>
        <w:bottom w:val="none" w:sz="0" w:space="0" w:color="auto"/>
        <w:right w:val="none" w:sz="0" w:space="0" w:color="auto"/>
      </w:divBdr>
    </w:div>
    <w:div w:id="959385035">
      <w:bodyDiv w:val="1"/>
      <w:marLeft w:val="0"/>
      <w:marRight w:val="0"/>
      <w:marTop w:val="0"/>
      <w:marBottom w:val="0"/>
      <w:divBdr>
        <w:top w:val="none" w:sz="0" w:space="0" w:color="auto"/>
        <w:left w:val="none" w:sz="0" w:space="0" w:color="auto"/>
        <w:bottom w:val="none" w:sz="0" w:space="0" w:color="auto"/>
        <w:right w:val="none" w:sz="0" w:space="0" w:color="auto"/>
      </w:divBdr>
    </w:div>
    <w:div w:id="992369892">
      <w:bodyDiv w:val="1"/>
      <w:marLeft w:val="0"/>
      <w:marRight w:val="0"/>
      <w:marTop w:val="0"/>
      <w:marBottom w:val="0"/>
      <w:divBdr>
        <w:top w:val="none" w:sz="0" w:space="0" w:color="auto"/>
        <w:left w:val="none" w:sz="0" w:space="0" w:color="auto"/>
        <w:bottom w:val="none" w:sz="0" w:space="0" w:color="auto"/>
        <w:right w:val="none" w:sz="0" w:space="0" w:color="auto"/>
      </w:divBdr>
    </w:div>
    <w:div w:id="1086145022">
      <w:bodyDiv w:val="1"/>
      <w:marLeft w:val="0"/>
      <w:marRight w:val="0"/>
      <w:marTop w:val="0"/>
      <w:marBottom w:val="0"/>
      <w:divBdr>
        <w:top w:val="none" w:sz="0" w:space="0" w:color="auto"/>
        <w:left w:val="none" w:sz="0" w:space="0" w:color="auto"/>
        <w:bottom w:val="none" w:sz="0" w:space="0" w:color="auto"/>
        <w:right w:val="none" w:sz="0" w:space="0" w:color="auto"/>
      </w:divBdr>
    </w:div>
    <w:div w:id="1094399290">
      <w:bodyDiv w:val="1"/>
      <w:marLeft w:val="0"/>
      <w:marRight w:val="0"/>
      <w:marTop w:val="0"/>
      <w:marBottom w:val="0"/>
      <w:divBdr>
        <w:top w:val="none" w:sz="0" w:space="0" w:color="auto"/>
        <w:left w:val="none" w:sz="0" w:space="0" w:color="auto"/>
        <w:bottom w:val="none" w:sz="0" w:space="0" w:color="auto"/>
        <w:right w:val="none" w:sz="0" w:space="0" w:color="auto"/>
      </w:divBdr>
    </w:div>
    <w:div w:id="1100831718">
      <w:bodyDiv w:val="1"/>
      <w:marLeft w:val="0"/>
      <w:marRight w:val="0"/>
      <w:marTop w:val="0"/>
      <w:marBottom w:val="0"/>
      <w:divBdr>
        <w:top w:val="none" w:sz="0" w:space="0" w:color="auto"/>
        <w:left w:val="none" w:sz="0" w:space="0" w:color="auto"/>
        <w:bottom w:val="none" w:sz="0" w:space="0" w:color="auto"/>
        <w:right w:val="none" w:sz="0" w:space="0" w:color="auto"/>
      </w:divBdr>
    </w:div>
    <w:div w:id="1134832291">
      <w:bodyDiv w:val="1"/>
      <w:marLeft w:val="0"/>
      <w:marRight w:val="0"/>
      <w:marTop w:val="0"/>
      <w:marBottom w:val="0"/>
      <w:divBdr>
        <w:top w:val="none" w:sz="0" w:space="0" w:color="auto"/>
        <w:left w:val="none" w:sz="0" w:space="0" w:color="auto"/>
        <w:bottom w:val="none" w:sz="0" w:space="0" w:color="auto"/>
        <w:right w:val="none" w:sz="0" w:space="0" w:color="auto"/>
      </w:divBdr>
    </w:div>
    <w:div w:id="1225068955">
      <w:bodyDiv w:val="1"/>
      <w:marLeft w:val="0"/>
      <w:marRight w:val="0"/>
      <w:marTop w:val="0"/>
      <w:marBottom w:val="0"/>
      <w:divBdr>
        <w:top w:val="none" w:sz="0" w:space="0" w:color="auto"/>
        <w:left w:val="none" w:sz="0" w:space="0" w:color="auto"/>
        <w:bottom w:val="none" w:sz="0" w:space="0" w:color="auto"/>
        <w:right w:val="none" w:sz="0" w:space="0" w:color="auto"/>
      </w:divBdr>
    </w:div>
    <w:div w:id="1286931334">
      <w:bodyDiv w:val="1"/>
      <w:marLeft w:val="0"/>
      <w:marRight w:val="0"/>
      <w:marTop w:val="0"/>
      <w:marBottom w:val="0"/>
      <w:divBdr>
        <w:top w:val="none" w:sz="0" w:space="0" w:color="auto"/>
        <w:left w:val="none" w:sz="0" w:space="0" w:color="auto"/>
        <w:bottom w:val="none" w:sz="0" w:space="0" w:color="auto"/>
        <w:right w:val="none" w:sz="0" w:space="0" w:color="auto"/>
      </w:divBdr>
    </w:div>
    <w:div w:id="1315992197">
      <w:bodyDiv w:val="1"/>
      <w:marLeft w:val="0"/>
      <w:marRight w:val="0"/>
      <w:marTop w:val="0"/>
      <w:marBottom w:val="0"/>
      <w:divBdr>
        <w:top w:val="none" w:sz="0" w:space="0" w:color="auto"/>
        <w:left w:val="none" w:sz="0" w:space="0" w:color="auto"/>
        <w:bottom w:val="none" w:sz="0" w:space="0" w:color="auto"/>
        <w:right w:val="none" w:sz="0" w:space="0" w:color="auto"/>
      </w:divBdr>
    </w:div>
    <w:div w:id="1353415370">
      <w:bodyDiv w:val="1"/>
      <w:marLeft w:val="0"/>
      <w:marRight w:val="0"/>
      <w:marTop w:val="0"/>
      <w:marBottom w:val="0"/>
      <w:divBdr>
        <w:top w:val="none" w:sz="0" w:space="0" w:color="auto"/>
        <w:left w:val="none" w:sz="0" w:space="0" w:color="auto"/>
        <w:bottom w:val="none" w:sz="0" w:space="0" w:color="auto"/>
        <w:right w:val="none" w:sz="0" w:space="0" w:color="auto"/>
      </w:divBdr>
    </w:div>
    <w:div w:id="1368607149">
      <w:bodyDiv w:val="1"/>
      <w:marLeft w:val="0"/>
      <w:marRight w:val="0"/>
      <w:marTop w:val="0"/>
      <w:marBottom w:val="0"/>
      <w:divBdr>
        <w:top w:val="none" w:sz="0" w:space="0" w:color="auto"/>
        <w:left w:val="none" w:sz="0" w:space="0" w:color="auto"/>
        <w:bottom w:val="none" w:sz="0" w:space="0" w:color="auto"/>
        <w:right w:val="none" w:sz="0" w:space="0" w:color="auto"/>
      </w:divBdr>
    </w:div>
    <w:div w:id="1486431607">
      <w:bodyDiv w:val="1"/>
      <w:marLeft w:val="0"/>
      <w:marRight w:val="0"/>
      <w:marTop w:val="0"/>
      <w:marBottom w:val="0"/>
      <w:divBdr>
        <w:top w:val="none" w:sz="0" w:space="0" w:color="auto"/>
        <w:left w:val="none" w:sz="0" w:space="0" w:color="auto"/>
        <w:bottom w:val="none" w:sz="0" w:space="0" w:color="auto"/>
        <w:right w:val="none" w:sz="0" w:space="0" w:color="auto"/>
      </w:divBdr>
    </w:div>
    <w:div w:id="1507591999">
      <w:bodyDiv w:val="1"/>
      <w:marLeft w:val="0"/>
      <w:marRight w:val="0"/>
      <w:marTop w:val="0"/>
      <w:marBottom w:val="0"/>
      <w:divBdr>
        <w:top w:val="none" w:sz="0" w:space="0" w:color="auto"/>
        <w:left w:val="none" w:sz="0" w:space="0" w:color="auto"/>
        <w:bottom w:val="none" w:sz="0" w:space="0" w:color="auto"/>
        <w:right w:val="none" w:sz="0" w:space="0" w:color="auto"/>
      </w:divBdr>
    </w:div>
    <w:div w:id="1525905388">
      <w:bodyDiv w:val="1"/>
      <w:marLeft w:val="0"/>
      <w:marRight w:val="0"/>
      <w:marTop w:val="0"/>
      <w:marBottom w:val="0"/>
      <w:divBdr>
        <w:top w:val="none" w:sz="0" w:space="0" w:color="auto"/>
        <w:left w:val="none" w:sz="0" w:space="0" w:color="auto"/>
        <w:bottom w:val="none" w:sz="0" w:space="0" w:color="auto"/>
        <w:right w:val="none" w:sz="0" w:space="0" w:color="auto"/>
      </w:divBdr>
    </w:div>
    <w:div w:id="1529106388">
      <w:bodyDiv w:val="1"/>
      <w:marLeft w:val="0"/>
      <w:marRight w:val="0"/>
      <w:marTop w:val="0"/>
      <w:marBottom w:val="0"/>
      <w:divBdr>
        <w:top w:val="none" w:sz="0" w:space="0" w:color="auto"/>
        <w:left w:val="none" w:sz="0" w:space="0" w:color="auto"/>
        <w:bottom w:val="none" w:sz="0" w:space="0" w:color="auto"/>
        <w:right w:val="none" w:sz="0" w:space="0" w:color="auto"/>
      </w:divBdr>
    </w:div>
    <w:div w:id="1550605819">
      <w:bodyDiv w:val="1"/>
      <w:marLeft w:val="0"/>
      <w:marRight w:val="0"/>
      <w:marTop w:val="0"/>
      <w:marBottom w:val="0"/>
      <w:divBdr>
        <w:top w:val="none" w:sz="0" w:space="0" w:color="auto"/>
        <w:left w:val="none" w:sz="0" w:space="0" w:color="auto"/>
        <w:bottom w:val="none" w:sz="0" w:space="0" w:color="auto"/>
        <w:right w:val="none" w:sz="0" w:space="0" w:color="auto"/>
      </w:divBdr>
    </w:div>
    <w:div w:id="1577277782">
      <w:bodyDiv w:val="1"/>
      <w:marLeft w:val="0"/>
      <w:marRight w:val="0"/>
      <w:marTop w:val="0"/>
      <w:marBottom w:val="0"/>
      <w:divBdr>
        <w:top w:val="none" w:sz="0" w:space="0" w:color="auto"/>
        <w:left w:val="none" w:sz="0" w:space="0" w:color="auto"/>
        <w:bottom w:val="none" w:sz="0" w:space="0" w:color="auto"/>
        <w:right w:val="none" w:sz="0" w:space="0" w:color="auto"/>
      </w:divBdr>
    </w:div>
    <w:div w:id="1589927081">
      <w:bodyDiv w:val="1"/>
      <w:marLeft w:val="0"/>
      <w:marRight w:val="0"/>
      <w:marTop w:val="0"/>
      <w:marBottom w:val="0"/>
      <w:divBdr>
        <w:top w:val="none" w:sz="0" w:space="0" w:color="auto"/>
        <w:left w:val="none" w:sz="0" w:space="0" w:color="auto"/>
        <w:bottom w:val="none" w:sz="0" w:space="0" w:color="auto"/>
        <w:right w:val="none" w:sz="0" w:space="0" w:color="auto"/>
      </w:divBdr>
    </w:div>
    <w:div w:id="1601601185">
      <w:bodyDiv w:val="1"/>
      <w:marLeft w:val="0"/>
      <w:marRight w:val="0"/>
      <w:marTop w:val="0"/>
      <w:marBottom w:val="0"/>
      <w:divBdr>
        <w:top w:val="none" w:sz="0" w:space="0" w:color="auto"/>
        <w:left w:val="none" w:sz="0" w:space="0" w:color="auto"/>
        <w:bottom w:val="none" w:sz="0" w:space="0" w:color="auto"/>
        <w:right w:val="none" w:sz="0" w:space="0" w:color="auto"/>
      </w:divBdr>
    </w:div>
    <w:div w:id="1614555453">
      <w:bodyDiv w:val="1"/>
      <w:marLeft w:val="0"/>
      <w:marRight w:val="0"/>
      <w:marTop w:val="0"/>
      <w:marBottom w:val="0"/>
      <w:divBdr>
        <w:top w:val="none" w:sz="0" w:space="0" w:color="auto"/>
        <w:left w:val="none" w:sz="0" w:space="0" w:color="auto"/>
        <w:bottom w:val="none" w:sz="0" w:space="0" w:color="auto"/>
        <w:right w:val="none" w:sz="0" w:space="0" w:color="auto"/>
      </w:divBdr>
    </w:div>
    <w:div w:id="1632783480">
      <w:bodyDiv w:val="1"/>
      <w:marLeft w:val="0"/>
      <w:marRight w:val="0"/>
      <w:marTop w:val="0"/>
      <w:marBottom w:val="0"/>
      <w:divBdr>
        <w:top w:val="none" w:sz="0" w:space="0" w:color="auto"/>
        <w:left w:val="none" w:sz="0" w:space="0" w:color="auto"/>
        <w:bottom w:val="none" w:sz="0" w:space="0" w:color="auto"/>
        <w:right w:val="none" w:sz="0" w:space="0" w:color="auto"/>
      </w:divBdr>
    </w:div>
    <w:div w:id="1645231300">
      <w:bodyDiv w:val="1"/>
      <w:marLeft w:val="0"/>
      <w:marRight w:val="0"/>
      <w:marTop w:val="0"/>
      <w:marBottom w:val="0"/>
      <w:divBdr>
        <w:top w:val="none" w:sz="0" w:space="0" w:color="auto"/>
        <w:left w:val="none" w:sz="0" w:space="0" w:color="auto"/>
        <w:bottom w:val="none" w:sz="0" w:space="0" w:color="auto"/>
        <w:right w:val="none" w:sz="0" w:space="0" w:color="auto"/>
      </w:divBdr>
    </w:div>
    <w:div w:id="1695686000">
      <w:bodyDiv w:val="1"/>
      <w:marLeft w:val="0"/>
      <w:marRight w:val="0"/>
      <w:marTop w:val="0"/>
      <w:marBottom w:val="0"/>
      <w:divBdr>
        <w:top w:val="none" w:sz="0" w:space="0" w:color="auto"/>
        <w:left w:val="none" w:sz="0" w:space="0" w:color="auto"/>
        <w:bottom w:val="none" w:sz="0" w:space="0" w:color="auto"/>
        <w:right w:val="none" w:sz="0" w:space="0" w:color="auto"/>
      </w:divBdr>
    </w:div>
    <w:div w:id="1696298919">
      <w:bodyDiv w:val="1"/>
      <w:marLeft w:val="0"/>
      <w:marRight w:val="0"/>
      <w:marTop w:val="0"/>
      <w:marBottom w:val="0"/>
      <w:divBdr>
        <w:top w:val="none" w:sz="0" w:space="0" w:color="auto"/>
        <w:left w:val="none" w:sz="0" w:space="0" w:color="auto"/>
        <w:bottom w:val="none" w:sz="0" w:space="0" w:color="auto"/>
        <w:right w:val="none" w:sz="0" w:space="0" w:color="auto"/>
      </w:divBdr>
    </w:div>
    <w:div w:id="1752191545">
      <w:bodyDiv w:val="1"/>
      <w:marLeft w:val="0"/>
      <w:marRight w:val="0"/>
      <w:marTop w:val="0"/>
      <w:marBottom w:val="0"/>
      <w:divBdr>
        <w:top w:val="none" w:sz="0" w:space="0" w:color="auto"/>
        <w:left w:val="none" w:sz="0" w:space="0" w:color="auto"/>
        <w:bottom w:val="none" w:sz="0" w:space="0" w:color="auto"/>
        <w:right w:val="none" w:sz="0" w:space="0" w:color="auto"/>
      </w:divBdr>
    </w:div>
    <w:div w:id="1842967038">
      <w:bodyDiv w:val="1"/>
      <w:marLeft w:val="0"/>
      <w:marRight w:val="0"/>
      <w:marTop w:val="0"/>
      <w:marBottom w:val="0"/>
      <w:divBdr>
        <w:top w:val="none" w:sz="0" w:space="0" w:color="auto"/>
        <w:left w:val="none" w:sz="0" w:space="0" w:color="auto"/>
        <w:bottom w:val="none" w:sz="0" w:space="0" w:color="auto"/>
        <w:right w:val="none" w:sz="0" w:space="0" w:color="auto"/>
      </w:divBdr>
    </w:div>
    <w:div w:id="1864051622">
      <w:bodyDiv w:val="1"/>
      <w:marLeft w:val="0"/>
      <w:marRight w:val="0"/>
      <w:marTop w:val="0"/>
      <w:marBottom w:val="0"/>
      <w:divBdr>
        <w:top w:val="none" w:sz="0" w:space="0" w:color="auto"/>
        <w:left w:val="none" w:sz="0" w:space="0" w:color="auto"/>
        <w:bottom w:val="none" w:sz="0" w:space="0" w:color="auto"/>
        <w:right w:val="none" w:sz="0" w:space="0" w:color="auto"/>
      </w:divBdr>
    </w:div>
    <w:div w:id="1916549671">
      <w:bodyDiv w:val="1"/>
      <w:marLeft w:val="0"/>
      <w:marRight w:val="0"/>
      <w:marTop w:val="0"/>
      <w:marBottom w:val="0"/>
      <w:divBdr>
        <w:top w:val="none" w:sz="0" w:space="0" w:color="auto"/>
        <w:left w:val="none" w:sz="0" w:space="0" w:color="auto"/>
        <w:bottom w:val="none" w:sz="0" w:space="0" w:color="auto"/>
        <w:right w:val="none" w:sz="0" w:space="0" w:color="auto"/>
      </w:divBdr>
    </w:div>
    <w:div w:id="1971013045">
      <w:bodyDiv w:val="1"/>
      <w:marLeft w:val="0"/>
      <w:marRight w:val="0"/>
      <w:marTop w:val="0"/>
      <w:marBottom w:val="0"/>
      <w:divBdr>
        <w:top w:val="none" w:sz="0" w:space="0" w:color="auto"/>
        <w:left w:val="none" w:sz="0" w:space="0" w:color="auto"/>
        <w:bottom w:val="none" w:sz="0" w:space="0" w:color="auto"/>
        <w:right w:val="none" w:sz="0" w:space="0" w:color="auto"/>
      </w:divBdr>
    </w:div>
    <w:div w:id="1977371433">
      <w:bodyDiv w:val="1"/>
      <w:marLeft w:val="0"/>
      <w:marRight w:val="0"/>
      <w:marTop w:val="0"/>
      <w:marBottom w:val="0"/>
      <w:divBdr>
        <w:top w:val="none" w:sz="0" w:space="0" w:color="auto"/>
        <w:left w:val="none" w:sz="0" w:space="0" w:color="auto"/>
        <w:bottom w:val="none" w:sz="0" w:space="0" w:color="auto"/>
        <w:right w:val="none" w:sz="0" w:space="0" w:color="auto"/>
      </w:divBdr>
    </w:div>
    <w:div w:id="2024016036">
      <w:bodyDiv w:val="1"/>
      <w:marLeft w:val="0"/>
      <w:marRight w:val="0"/>
      <w:marTop w:val="0"/>
      <w:marBottom w:val="0"/>
      <w:divBdr>
        <w:top w:val="none" w:sz="0" w:space="0" w:color="auto"/>
        <w:left w:val="none" w:sz="0" w:space="0" w:color="auto"/>
        <w:bottom w:val="none" w:sz="0" w:space="0" w:color="auto"/>
        <w:right w:val="none" w:sz="0" w:space="0" w:color="auto"/>
      </w:divBdr>
    </w:div>
    <w:div w:id="2041974840">
      <w:bodyDiv w:val="1"/>
      <w:marLeft w:val="0"/>
      <w:marRight w:val="0"/>
      <w:marTop w:val="0"/>
      <w:marBottom w:val="0"/>
      <w:divBdr>
        <w:top w:val="none" w:sz="0" w:space="0" w:color="auto"/>
        <w:left w:val="none" w:sz="0" w:space="0" w:color="auto"/>
        <w:bottom w:val="none" w:sz="0" w:space="0" w:color="auto"/>
        <w:right w:val="none" w:sz="0" w:space="0" w:color="auto"/>
      </w:divBdr>
    </w:div>
    <w:div w:id="2049723283">
      <w:bodyDiv w:val="1"/>
      <w:marLeft w:val="0"/>
      <w:marRight w:val="0"/>
      <w:marTop w:val="0"/>
      <w:marBottom w:val="0"/>
      <w:divBdr>
        <w:top w:val="none" w:sz="0" w:space="0" w:color="auto"/>
        <w:left w:val="none" w:sz="0" w:space="0" w:color="auto"/>
        <w:bottom w:val="none" w:sz="0" w:space="0" w:color="auto"/>
        <w:right w:val="none" w:sz="0" w:space="0" w:color="auto"/>
      </w:divBdr>
    </w:div>
    <w:div w:id="2057121059">
      <w:bodyDiv w:val="1"/>
      <w:marLeft w:val="0"/>
      <w:marRight w:val="0"/>
      <w:marTop w:val="0"/>
      <w:marBottom w:val="0"/>
      <w:divBdr>
        <w:top w:val="none" w:sz="0" w:space="0" w:color="auto"/>
        <w:left w:val="none" w:sz="0" w:space="0" w:color="auto"/>
        <w:bottom w:val="none" w:sz="0" w:space="0" w:color="auto"/>
        <w:right w:val="none" w:sz="0" w:space="0" w:color="auto"/>
      </w:divBdr>
    </w:div>
    <w:div w:id="2071921477">
      <w:bodyDiv w:val="1"/>
      <w:marLeft w:val="0"/>
      <w:marRight w:val="0"/>
      <w:marTop w:val="0"/>
      <w:marBottom w:val="0"/>
      <w:divBdr>
        <w:top w:val="none" w:sz="0" w:space="0" w:color="auto"/>
        <w:left w:val="none" w:sz="0" w:space="0" w:color="auto"/>
        <w:bottom w:val="none" w:sz="0" w:space="0" w:color="auto"/>
        <w:right w:val="none" w:sz="0" w:space="0" w:color="auto"/>
      </w:divBdr>
    </w:div>
    <w:div w:id="2109496026">
      <w:bodyDiv w:val="1"/>
      <w:marLeft w:val="0"/>
      <w:marRight w:val="0"/>
      <w:marTop w:val="0"/>
      <w:marBottom w:val="0"/>
      <w:divBdr>
        <w:top w:val="none" w:sz="0" w:space="0" w:color="auto"/>
        <w:left w:val="none" w:sz="0" w:space="0" w:color="auto"/>
        <w:bottom w:val="none" w:sz="0" w:space="0" w:color="auto"/>
        <w:right w:val="none" w:sz="0" w:space="0" w:color="auto"/>
      </w:divBdr>
    </w:div>
    <w:div w:id="2123837134">
      <w:bodyDiv w:val="1"/>
      <w:marLeft w:val="0"/>
      <w:marRight w:val="0"/>
      <w:marTop w:val="0"/>
      <w:marBottom w:val="0"/>
      <w:divBdr>
        <w:top w:val="none" w:sz="0" w:space="0" w:color="auto"/>
        <w:left w:val="none" w:sz="0" w:space="0" w:color="auto"/>
        <w:bottom w:val="none" w:sz="0" w:space="0" w:color="auto"/>
        <w:right w:val="none" w:sz="0" w:space="0" w:color="auto"/>
      </w:divBdr>
    </w:div>
    <w:div w:id="21277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My%20PhD%20TB%20project\aim-1\chequerboard%20Result\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Sheet1!$I$13</c:f>
              <c:strCache>
                <c:ptCount val="1"/>
                <c:pt idx="0">
                  <c:v>Synergistic partner</c:v>
                </c:pt>
              </c:strCache>
            </c:strRef>
          </c:tx>
          <c:spPr>
            <a:solidFill>
              <a:schemeClr val="dk1">
                <a:tint val="88500"/>
              </a:schemeClr>
            </a:solidFill>
            <a:ln>
              <a:noFill/>
            </a:ln>
            <a:effectLst/>
          </c:spPr>
          <c:invertIfNegative val="0"/>
          <c:cat>
            <c:strRef>
              <c:f>Sheet1!$H$14:$H$18</c:f>
              <c:strCache>
                <c:ptCount val="5"/>
                <c:pt idx="0">
                  <c:v>RBF-DL25</c:v>
                </c:pt>
                <c:pt idx="1">
                  <c:v>BDQ-DL25</c:v>
                </c:pt>
                <c:pt idx="2">
                  <c:v>RIF-DL25</c:v>
                </c:pt>
                <c:pt idx="3">
                  <c:v>ETH-DL25</c:v>
                </c:pt>
                <c:pt idx="4">
                  <c:v>LZD-DL25</c:v>
                </c:pt>
              </c:strCache>
            </c:strRef>
          </c:cat>
          <c:val>
            <c:numRef>
              <c:f>Sheet1!$I$14:$I$18</c:f>
              <c:numCache>
                <c:formatCode>General</c:formatCode>
                <c:ptCount val="5"/>
                <c:pt idx="0">
                  <c:v>2</c:v>
                </c:pt>
                <c:pt idx="1">
                  <c:v>1</c:v>
                </c:pt>
                <c:pt idx="2">
                  <c:v>2</c:v>
                </c:pt>
                <c:pt idx="3">
                  <c:v>2</c:v>
                </c:pt>
                <c:pt idx="4">
                  <c:v>1</c:v>
                </c:pt>
              </c:numCache>
            </c:numRef>
          </c:val>
          <c:extLst>
            <c:ext xmlns:c16="http://schemas.microsoft.com/office/drawing/2014/chart" uri="{C3380CC4-5D6E-409C-BE32-E72D297353CC}">
              <c16:uniqueId val="{00000000-20BA-46F1-93E3-D91580953C00}"/>
            </c:ext>
          </c:extLst>
        </c:ser>
        <c:ser>
          <c:idx val="1"/>
          <c:order val="1"/>
          <c:tx>
            <c:strRef>
              <c:f>Sheet1!$J$13</c:f>
              <c:strCache>
                <c:ptCount val="1"/>
                <c:pt idx="0">
                  <c:v>DL25</c:v>
                </c:pt>
              </c:strCache>
            </c:strRef>
          </c:tx>
          <c:spPr>
            <a:solidFill>
              <a:schemeClr val="dk1">
                <a:tint val="55000"/>
              </a:schemeClr>
            </a:solidFill>
            <a:ln>
              <a:noFill/>
            </a:ln>
            <a:effectLst/>
          </c:spPr>
          <c:invertIfNegative val="0"/>
          <c:cat>
            <c:strRef>
              <c:f>Sheet1!$H$14:$H$18</c:f>
              <c:strCache>
                <c:ptCount val="5"/>
                <c:pt idx="0">
                  <c:v>RBF-DL25</c:v>
                </c:pt>
                <c:pt idx="1">
                  <c:v>BDQ-DL25</c:v>
                </c:pt>
                <c:pt idx="2">
                  <c:v>RIF-DL25</c:v>
                </c:pt>
                <c:pt idx="3">
                  <c:v>ETH-DL25</c:v>
                </c:pt>
                <c:pt idx="4">
                  <c:v>LZD-DL25</c:v>
                </c:pt>
              </c:strCache>
            </c:strRef>
          </c:cat>
          <c:val>
            <c:numRef>
              <c:f>Sheet1!$J$14:$J$18</c:f>
              <c:numCache>
                <c:formatCode>General</c:formatCode>
                <c:ptCount val="5"/>
                <c:pt idx="0">
                  <c:v>4</c:v>
                </c:pt>
                <c:pt idx="1">
                  <c:v>4</c:v>
                </c:pt>
                <c:pt idx="2">
                  <c:v>4</c:v>
                </c:pt>
                <c:pt idx="3">
                  <c:v>4</c:v>
                </c:pt>
                <c:pt idx="4">
                  <c:v>4</c:v>
                </c:pt>
              </c:numCache>
            </c:numRef>
          </c:val>
          <c:extLst>
            <c:ext xmlns:c16="http://schemas.microsoft.com/office/drawing/2014/chart" uri="{C3380CC4-5D6E-409C-BE32-E72D297353CC}">
              <c16:uniqueId val="{00000001-20BA-46F1-93E3-D91580953C00}"/>
            </c:ext>
          </c:extLst>
        </c:ser>
        <c:dLbls>
          <c:showLegendKey val="0"/>
          <c:showVal val="0"/>
          <c:showCatName val="0"/>
          <c:showSerName val="0"/>
          <c:showPercent val="0"/>
          <c:showBubbleSize val="0"/>
        </c:dLbls>
        <c:gapWidth val="219"/>
        <c:overlap val="-27"/>
        <c:axId val="589813488"/>
        <c:axId val="589812832"/>
      </c:barChart>
      <c:catAx>
        <c:axId val="589813488"/>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0">
                    <a:solidFill>
                      <a:sysClr val="windowText" lastClr="000000"/>
                    </a:solidFill>
                  </a:rPr>
                  <a:t>Combination of Drug and DL25</a:t>
                </a:r>
              </a:p>
            </c:rich>
          </c:tx>
          <c:layout>
            <c:manualLayout>
              <c:xMode val="edge"/>
              <c:yMode val="edge"/>
              <c:x val="0.36458223972003501"/>
              <c:y val="0.7959251968503935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89812832"/>
        <c:crosses val="autoZero"/>
        <c:auto val="1"/>
        <c:lblAlgn val="ctr"/>
        <c:lblOffset val="100"/>
        <c:noMultiLvlLbl val="0"/>
      </c:catAx>
      <c:valAx>
        <c:axId val="58981283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0">
                    <a:solidFill>
                      <a:sysClr val="windowText" lastClr="000000"/>
                    </a:solidFill>
                    <a:latin typeface="+mn-lt"/>
                    <a:cs typeface="Arial" panose="020B0604020202020204" pitchFamily="34" charset="0"/>
                  </a:rPr>
                  <a:t>MIC fold-reduction  (µg/ml)</a:t>
                </a:r>
              </a:p>
            </c:rich>
          </c:tx>
          <c:layout>
            <c:manualLayout>
              <c:xMode val="edge"/>
              <c:yMode val="edge"/>
              <c:x val="7.8703703703703696E-3"/>
              <c:y val="6.5447111449778453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898134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Entry>
      <c:layout>
        <c:manualLayout>
          <c:xMode val="edge"/>
          <c:yMode val="edge"/>
          <c:x val="2.1247083697871635E-3"/>
          <c:y val="0.89917449834899665"/>
          <c:w val="0.35686154855643049"/>
          <c:h val="7.8125546806649182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10688</TotalTime>
  <Pages>7</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382</cp:revision>
  <dcterms:created xsi:type="dcterms:W3CDTF">2024-02-29T13:45:00Z</dcterms:created>
  <dcterms:modified xsi:type="dcterms:W3CDTF">2024-08-14T15:33:00Z</dcterms:modified>
</cp:coreProperties>
</file>