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purl.oclc.org/ooxml/officeDocument/relationships/extendedProperties" Target="docProps/app.xml"/><Relationship Id="rId2" Type="http://schemas.openxmlformats.org/package/2006/relationships/metadata/core-properties" Target="docProps/core.xml"/><Relationship Id="rId1" Type="http://purl.oclc.org/ooxml/officeDocument/relationships/officeDocument" Target="word/document.xml"/></Relationships>
</file>

<file path=word/document.xml><?xml version="1.0" encoding="utf-8"?>
<w:document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purl.oclc.org/ooxml/officeDocument/relationships" xmlns:m="http://purl.oclc.org/ooxml/officeDocument/math" xmlns:v="urn:schemas-microsoft-com:vml" xmlns:wp14="http://schemas.microsoft.com/office/word/2010/wordprocessingDrawing" xmlns:wp="http://purl.oclc.org/ooxml/drawingml/wordprocessingDrawing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i="http://schemas.microsoft.com/office/word/2010/wordprocessingInk" xmlns:wne="http://schemas.microsoft.com/office/word/2006/wordml" mc:Ignorable="w14 w15 w16se w16cid w16 w16cex w16sdtdh w16du wne wp14" w:conformance="strict">
  <w:body>
    <w:p w14:paraId="40E6507A" w14:textId="77777777" w:rsidR="00126D87" w:rsidRPr="008330E5" w:rsidRDefault="00126D87" w:rsidP="00126D87">
      <w:pPr>
        <w:autoSpaceDE w:val="0"/>
        <w:autoSpaceDN w:val="0"/>
        <w:adjustRightInd w:val="0"/>
        <w:spacing w:after="0pt" w:line="24pt" w:lineRule="auto"/>
        <w:rPr>
          <w:rFonts w:ascii="Arial" w:hAnsi="Arial" w:cs="Arial"/>
          <w:b/>
          <w:lang w:val="en-GB"/>
        </w:rPr>
      </w:pPr>
      <w:r w:rsidRPr="008330E5">
        <w:rPr>
          <w:rFonts w:ascii="Arial" w:eastAsia="Arial" w:hAnsi="Arial" w:cs="Arial"/>
          <w:b/>
          <w:color w:val="000000"/>
          <w:lang w:val="en-GB"/>
        </w:rPr>
        <w:t>Supplementary Tables</w:t>
      </w:r>
    </w:p>
    <w:p w14:paraId="5EAA2EA3" w14:textId="77777777" w:rsidR="00126D87" w:rsidRPr="008330E5" w:rsidRDefault="00126D87" w:rsidP="00126D87">
      <w:pPr>
        <w:tabs>
          <w:tab w:val="start" w:pos="46pt"/>
        </w:tabs>
        <w:spacing w:line="24pt" w:lineRule="auto"/>
        <w:ind w:end="-35.45pt"/>
        <w:jc w:val="both"/>
        <w:rPr>
          <w:rFonts w:ascii="Arial" w:hAnsi="Arial" w:cs="Arial"/>
          <w:b/>
          <w:sz w:val="18"/>
          <w:szCs w:val="18"/>
          <w:lang w:val="en-GB"/>
        </w:rPr>
      </w:pPr>
    </w:p>
    <w:p w14:paraId="41CC06A5" w14:textId="77777777" w:rsidR="00126D87" w:rsidRPr="008330E5" w:rsidRDefault="00126D87" w:rsidP="00126D87">
      <w:pPr>
        <w:tabs>
          <w:tab w:val="start" w:pos="46pt"/>
        </w:tabs>
        <w:spacing w:line="24pt" w:lineRule="auto"/>
        <w:ind w:end="-7.10pt"/>
        <w:jc w:val="both"/>
        <w:rPr>
          <w:rFonts w:ascii="Arial" w:hAnsi="Arial" w:cs="Arial"/>
          <w:sz w:val="18"/>
          <w:szCs w:val="18"/>
          <w:lang w:val="en-GB"/>
        </w:rPr>
      </w:pPr>
      <w:r w:rsidRPr="008330E5">
        <w:rPr>
          <w:rFonts w:ascii="Arial" w:hAnsi="Arial" w:cs="Arial"/>
          <w:b/>
          <w:sz w:val="18"/>
          <w:szCs w:val="18"/>
          <w:lang w:val="en-GB"/>
        </w:rPr>
        <w:t xml:space="preserve">Supplementary Table </w:t>
      </w:r>
      <w:r>
        <w:rPr>
          <w:rFonts w:ascii="Arial" w:hAnsi="Arial" w:cs="Arial"/>
          <w:b/>
          <w:sz w:val="18"/>
          <w:szCs w:val="18"/>
          <w:lang w:val="en-GB"/>
        </w:rPr>
        <w:t>1</w:t>
      </w:r>
      <w:r w:rsidRPr="008330E5">
        <w:rPr>
          <w:rFonts w:ascii="Arial" w:hAnsi="Arial" w:cs="Arial"/>
          <w:b/>
          <w:sz w:val="18"/>
          <w:szCs w:val="18"/>
          <w:lang w:val="en-GB"/>
        </w:rPr>
        <w:t xml:space="preserve">. </w:t>
      </w:r>
      <w:r w:rsidRPr="007771C0">
        <w:rPr>
          <w:rFonts w:ascii="Arial" w:hAnsi="Arial" w:cs="Arial"/>
          <w:sz w:val="18"/>
          <w:szCs w:val="18"/>
          <w:lang w:val="en-GB"/>
        </w:rPr>
        <w:t xml:space="preserve">Bivariate analysis of </w:t>
      </w:r>
      <w:r w:rsidRPr="008330E5">
        <w:rPr>
          <w:rFonts w:ascii="Arial" w:hAnsi="Arial" w:cs="Arial"/>
          <w:sz w:val="18"/>
          <w:szCs w:val="18"/>
          <w:lang w:val="en-GB"/>
        </w:rPr>
        <w:t>clinical and demographic va</w:t>
      </w:r>
      <w:r>
        <w:rPr>
          <w:rFonts w:ascii="Arial" w:hAnsi="Arial" w:cs="Arial"/>
          <w:sz w:val="18"/>
          <w:szCs w:val="18"/>
          <w:lang w:val="en-GB"/>
        </w:rPr>
        <w:t xml:space="preserve">riables of 206 patients </w:t>
      </w:r>
      <w:r w:rsidRPr="007771C0">
        <w:rPr>
          <w:rFonts w:ascii="Arial" w:hAnsi="Arial" w:cs="Arial"/>
          <w:sz w:val="18"/>
          <w:szCs w:val="18"/>
          <w:lang w:val="en-GB"/>
        </w:rPr>
        <w:t xml:space="preserve">in relation to </w:t>
      </w:r>
      <w:r w:rsidRPr="008330E5">
        <w:rPr>
          <w:rFonts w:ascii="Arial" w:hAnsi="Arial" w:cs="Arial"/>
          <w:sz w:val="18"/>
          <w:szCs w:val="18"/>
          <w:lang w:val="en-GB"/>
        </w:rPr>
        <w:t>functional</w:t>
      </w:r>
      <w:r>
        <w:rPr>
          <w:rFonts w:ascii="Arial" w:hAnsi="Arial" w:cs="Arial"/>
          <w:sz w:val="18"/>
          <w:szCs w:val="18"/>
          <w:lang w:val="en-GB"/>
        </w:rPr>
        <w:t>,</w:t>
      </w:r>
      <w:r w:rsidRPr="008330E5">
        <w:rPr>
          <w:rFonts w:ascii="Arial" w:hAnsi="Arial" w:cs="Arial"/>
          <w:sz w:val="18"/>
          <w:szCs w:val="18"/>
          <w:lang w:val="en-GB"/>
        </w:rPr>
        <w:t xml:space="preserve"> discharge destination </w:t>
      </w:r>
      <w:r>
        <w:rPr>
          <w:rFonts w:ascii="Arial" w:hAnsi="Arial" w:cs="Arial"/>
          <w:sz w:val="18"/>
          <w:szCs w:val="18"/>
          <w:lang w:val="en-GB"/>
        </w:rPr>
        <w:t>or death variables.</w:t>
      </w:r>
    </w:p>
    <w:tbl>
      <w:tblPr>
        <w:tblStyle w:val="ListTable3-Accent31"/>
        <w:tblW w:w="487.35pt" w:type="dxa"/>
        <w:tblBorders>
          <w:top w:val="none" w:sz="0" w:space="0" w:color="auto"/>
          <w:start w:val="none" w:sz="0" w:space="0" w:color="auto"/>
          <w:bottom w:val="none" w:sz="0" w:space="0" w:color="auto"/>
          <w:end w:val="none" w:sz="0" w:space="0" w:color="auto"/>
        </w:tblBorders>
        <w:tblLook w:firstRow="1" w:lastRow="0" w:firstColumn="0" w:lastColumn="0" w:noHBand="0" w:noVBand="1"/>
      </w:tblPr>
      <w:tblGrid>
        <w:gridCol w:w="3261"/>
        <w:gridCol w:w="1612"/>
        <w:gridCol w:w="2437"/>
        <w:gridCol w:w="2437"/>
      </w:tblGrid>
      <w:tr w:rsidR="00126D87" w:rsidRPr="008330E5" w14:paraId="34578D48" w14:textId="77777777" w:rsidTr="00B8699B">
        <w:trPr>
          <w:cnfStyle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63.0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B27C33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0.60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7884D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14:paraId="5D8E36D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Whole sample</w:t>
            </w:r>
          </w:p>
          <w:p w14:paraId="33DA385C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(n = 206)</w:t>
            </w:r>
          </w:p>
          <w:p w14:paraId="55B0F6F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00326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  <w:p w14:paraId="7F99B7B5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Dementia</w:t>
            </w:r>
          </w:p>
          <w:p w14:paraId="4729A05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(n=108)</w:t>
            </w:r>
          </w:p>
          <w:p w14:paraId="22F97CF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3C6C51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14:paraId="2114560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eastAsia="Arial" w:hAnsi="Arial" w:cs="Arial"/>
                <w:b w:val="0"/>
                <w:bCs w:val="0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No dementia</w:t>
            </w:r>
          </w:p>
          <w:p w14:paraId="243585B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(n = 98)</w:t>
            </w:r>
          </w:p>
        </w:tc>
      </w:tr>
      <w:tr w:rsidR="00126D87" w:rsidRPr="008330E5" w14:paraId="6BC83E74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1DD3C7C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Demographic variables</w:t>
            </w:r>
          </w:p>
        </w:tc>
        <w:tc>
          <w:tcPr>
            <w:tcW w:w="80.60pt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60A478E8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20BF450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none" w:sz="0" w:space="0" w:color="auto"/>
            </w:tcBorders>
            <w:shd w:val="clear" w:color="auto" w:fill="auto"/>
          </w:tcPr>
          <w:p w14:paraId="64C81B3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both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26D87" w:rsidRPr="008330E5" w14:paraId="5C9554BD" w14:textId="77777777" w:rsidTr="00B8699B">
        <w:tc>
          <w:tcPr>
            <w:tcW w:w="163.05pt" w:type="dxa"/>
            <w:shd w:val="clear" w:color="auto" w:fill="auto"/>
          </w:tcPr>
          <w:p w14:paraId="7C10DA8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Age (years) (SD)</w:t>
            </w:r>
          </w:p>
        </w:tc>
        <w:tc>
          <w:tcPr>
            <w:tcW w:w="80.60pt" w:type="dxa"/>
            <w:shd w:val="clear" w:color="auto" w:fill="auto"/>
          </w:tcPr>
          <w:p w14:paraId="2D9D618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77.95 (9.82)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</w:t>
            </w:r>
          </w:p>
        </w:tc>
        <w:tc>
          <w:tcPr>
            <w:tcW w:w="121.85pt" w:type="dxa"/>
            <w:shd w:val="clear" w:color="auto" w:fill="auto"/>
          </w:tcPr>
          <w:p w14:paraId="09B2B60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80.06 (8.80)</w:t>
            </w:r>
          </w:p>
        </w:tc>
        <w:tc>
          <w:tcPr>
            <w:tcW w:w="121.85pt" w:type="dxa"/>
            <w:shd w:val="clear" w:color="auto" w:fill="auto"/>
          </w:tcPr>
          <w:p w14:paraId="27FE29C6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75.61 (69.61)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</w:t>
            </w:r>
          </w:p>
        </w:tc>
      </w:tr>
      <w:tr w:rsidR="00126D87" w:rsidRPr="008330E5" w14:paraId="3F8DA2E4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67E0BF4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Female sex (%)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341636B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91 (44.2%)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¶††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533D1DD5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50 (46.3%)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‡¶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6AAE660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41 (41.8%)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</w:t>
            </w:r>
          </w:p>
        </w:tc>
      </w:tr>
      <w:tr w:rsidR="00126D87" w:rsidRPr="008330E5" w14:paraId="5D44DCD5" w14:textId="77777777" w:rsidTr="00B8699B">
        <w:tc>
          <w:tcPr>
            <w:tcW w:w="163.05pt" w:type="dxa"/>
            <w:shd w:val="clear" w:color="auto" w:fill="auto"/>
          </w:tcPr>
          <w:p w14:paraId="37AED81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Single (%)</w:t>
            </w:r>
          </w:p>
        </w:tc>
        <w:tc>
          <w:tcPr>
            <w:tcW w:w="80.60pt" w:type="dxa"/>
            <w:shd w:val="clear" w:color="auto" w:fill="auto"/>
          </w:tcPr>
          <w:p w14:paraId="49A4232C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18 (8.7%)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</w:t>
            </w:r>
          </w:p>
        </w:tc>
        <w:tc>
          <w:tcPr>
            <w:tcW w:w="121.85pt" w:type="dxa"/>
            <w:shd w:val="clear" w:color="auto" w:fill="auto"/>
          </w:tcPr>
          <w:p w14:paraId="38E639C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 (6.5%)</w:t>
            </w:r>
          </w:p>
        </w:tc>
        <w:tc>
          <w:tcPr>
            <w:tcW w:w="121.85pt" w:type="dxa"/>
            <w:shd w:val="clear" w:color="auto" w:fill="auto"/>
          </w:tcPr>
          <w:p w14:paraId="73429B18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11 (11.2%)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§¶</w:t>
            </w:r>
          </w:p>
        </w:tc>
      </w:tr>
      <w:tr w:rsidR="00126D87" w:rsidRPr="008330E5" w14:paraId="0A6223B5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35D8AD9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Married (%)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5489893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83 (40.3%)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3B622F1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44 (4.7%)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40B567F6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39 (39.8%)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</w:t>
            </w:r>
          </w:p>
        </w:tc>
      </w:tr>
      <w:tr w:rsidR="00126D87" w:rsidRPr="008330E5" w14:paraId="569E3017" w14:textId="77777777" w:rsidTr="00B8699B">
        <w:tc>
          <w:tcPr>
            <w:tcW w:w="163.05pt" w:type="dxa"/>
            <w:shd w:val="clear" w:color="auto" w:fill="auto"/>
          </w:tcPr>
          <w:p w14:paraId="72009A56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Separated (%)</w:t>
            </w:r>
          </w:p>
        </w:tc>
        <w:tc>
          <w:tcPr>
            <w:tcW w:w="80.60pt" w:type="dxa"/>
            <w:shd w:val="clear" w:color="auto" w:fill="auto"/>
          </w:tcPr>
          <w:p w14:paraId="1C2DCF4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21 (10.2%)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§¶</w:t>
            </w:r>
          </w:p>
        </w:tc>
        <w:tc>
          <w:tcPr>
            <w:tcW w:w="121.85pt" w:type="dxa"/>
            <w:shd w:val="clear" w:color="auto" w:fill="auto"/>
          </w:tcPr>
          <w:p w14:paraId="247692C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9 (8.3%)</w:t>
            </w:r>
          </w:p>
        </w:tc>
        <w:tc>
          <w:tcPr>
            <w:tcW w:w="121.85pt" w:type="dxa"/>
            <w:shd w:val="clear" w:color="auto" w:fill="auto"/>
          </w:tcPr>
          <w:p w14:paraId="73E9423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12 (12.2%)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</w:t>
            </w:r>
          </w:p>
        </w:tc>
      </w:tr>
      <w:tr w:rsidR="00126D87" w:rsidRPr="008330E5" w14:paraId="5989F9DC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0DA7C2C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Widowed (%)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77E8907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84 (40.8%)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2FFAA08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48 (4.4%)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  <w:shd w:val="clear" w:color="auto" w:fill="auto"/>
          </w:tcPr>
          <w:p w14:paraId="3CEC8A7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36 (36.7%)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</w:t>
            </w:r>
          </w:p>
        </w:tc>
      </w:tr>
      <w:tr w:rsidR="00126D87" w:rsidRPr="008330E5" w14:paraId="6E7936CE" w14:textId="77777777" w:rsidTr="00B8699B">
        <w:tc>
          <w:tcPr>
            <w:tcW w:w="163.05pt" w:type="dxa"/>
            <w:tcBorders>
              <w:bottom w:val="single" w:sz="4" w:space="0" w:color="auto"/>
            </w:tcBorders>
          </w:tcPr>
          <w:p w14:paraId="1D4350F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Years of education (SD)</w:t>
            </w:r>
          </w:p>
          <w:p w14:paraId="3A8566E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0.60pt" w:type="dxa"/>
            <w:tcBorders>
              <w:bottom w:val="single" w:sz="4" w:space="0" w:color="auto"/>
            </w:tcBorders>
          </w:tcPr>
          <w:p w14:paraId="2ACA541C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7.02 (4.21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) #</w:t>
            </w:r>
          </w:p>
        </w:tc>
        <w:tc>
          <w:tcPr>
            <w:tcW w:w="121.85pt" w:type="dxa"/>
            <w:tcBorders>
              <w:bottom w:val="single" w:sz="4" w:space="0" w:color="auto"/>
            </w:tcBorders>
          </w:tcPr>
          <w:p w14:paraId="2F0990FC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6.89 (4.94)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#</w:t>
            </w:r>
          </w:p>
        </w:tc>
        <w:tc>
          <w:tcPr>
            <w:tcW w:w="121.85pt" w:type="dxa"/>
            <w:tcBorders>
              <w:bottom w:val="single" w:sz="4" w:space="0" w:color="auto"/>
            </w:tcBorders>
          </w:tcPr>
          <w:p w14:paraId="1D0BF315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7.16 (3.24)*</w:t>
            </w:r>
          </w:p>
        </w:tc>
      </w:tr>
      <w:tr w:rsidR="00126D87" w:rsidRPr="008330E5" w14:paraId="78C2113D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single" w:sz="4" w:space="0" w:color="auto"/>
              <w:bottom w:val="none" w:sz="0" w:space="0" w:color="auto"/>
            </w:tcBorders>
          </w:tcPr>
          <w:p w14:paraId="3B38764C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Functionality variables </w:t>
            </w:r>
          </w:p>
        </w:tc>
        <w:tc>
          <w:tcPr>
            <w:tcW w:w="80.60pt" w:type="dxa"/>
            <w:tcBorders>
              <w:top w:val="single" w:sz="4" w:space="0" w:color="auto"/>
              <w:bottom w:val="none" w:sz="0" w:space="0" w:color="auto"/>
            </w:tcBorders>
          </w:tcPr>
          <w:p w14:paraId="001F0606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none" w:sz="0" w:space="0" w:color="auto"/>
            </w:tcBorders>
          </w:tcPr>
          <w:p w14:paraId="4136C170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none" w:sz="0" w:space="0" w:color="auto"/>
            </w:tcBorders>
          </w:tcPr>
          <w:p w14:paraId="6CA7B470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26D87" w:rsidRPr="008330E5" w14:paraId="5E36902F" w14:textId="77777777" w:rsidTr="00B8699B">
        <w:tc>
          <w:tcPr>
            <w:tcW w:w="163.05pt" w:type="dxa"/>
          </w:tcPr>
          <w:p w14:paraId="481C485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Previously autonomous at home (%)</w:t>
            </w:r>
          </w:p>
        </w:tc>
        <w:tc>
          <w:tcPr>
            <w:tcW w:w="80.60pt" w:type="dxa"/>
          </w:tcPr>
          <w:p w14:paraId="00113E0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76 (36.9%)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†‡</w:t>
            </w:r>
          </w:p>
        </w:tc>
        <w:tc>
          <w:tcPr>
            <w:tcW w:w="121.85pt" w:type="dxa"/>
          </w:tcPr>
          <w:p w14:paraId="308654E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25 (23.1%)</w:t>
            </w:r>
          </w:p>
        </w:tc>
        <w:tc>
          <w:tcPr>
            <w:tcW w:w="121.85pt" w:type="dxa"/>
          </w:tcPr>
          <w:p w14:paraId="2C734BF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51 (52%)</w:t>
            </w:r>
          </w:p>
        </w:tc>
      </w:tr>
      <w:tr w:rsidR="00126D87" w:rsidRPr="008330E5" w14:paraId="603EA0D4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6E46372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Previously high dependency at</w:t>
            </w:r>
          </w:p>
          <w:p w14:paraId="16BF02C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home (%)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38DB435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25 (12.1%)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†‡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4EB27A41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22 (20.4%)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3008E4C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 (3.1%)</w:t>
            </w:r>
          </w:p>
        </w:tc>
      </w:tr>
      <w:tr w:rsidR="00126D87" w:rsidRPr="008330E5" w14:paraId="049D8B00" w14:textId="77777777" w:rsidTr="00B8699B">
        <w:tc>
          <w:tcPr>
            <w:tcW w:w="163.05pt" w:type="dxa"/>
          </w:tcPr>
          <w:p w14:paraId="5DACD7B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Previous FAC score (SD)</w:t>
            </w:r>
          </w:p>
        </w:tc>
        <w:tc>
          <w:tcPr>
            <w:tcW w:w="80.60pt" w:type="dxa"/>
          </w:tcPr>
          <w:p w14:paraId="4ADCFE4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3.57 (1.38)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††</w:t>
            </w:r>
          </w:p>
        </w:tc>
        <w:tc>
          <w:tcPr>
            <w:tcW w:w="121.85pt" w:type="dxa"/>
          </w:tcPr>
          <w:p w14:paraId="1B14698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3.41 (1.39)</w:t>
            </w:r>
          </w:p>
        </w:tc>
        <w:tc>
          <w:tcPr>
            <w:tcW w:w="121.85pt" w:type="dxa"/>
          </w:tcPr>
          <w:p w14:paraId="79211131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3.76 (1.35)</w:t>
            </w:r>
          </w:p>
        </w:tc>
      </w:tr>
      <w:tr w:rsidR="00126D87" w:rsidRPr="008330E5" w14:paraId="1F2372B0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2AEA3EC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Tinetti score at admission (SD)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7776AEC8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9.33 (10.38)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††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1F1C16BC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11.35 (10.47)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13A0E951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7.09 (9.86)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††</w:t>
            </w:r>
          </w:p>
        </w:tc>
      </w:tr>
      <w:tr w:rsidR="00126D87" w:rsidRPr="008330E5" w14:paraId="5516083D" w14:textId="77777777" w:rsidTr="00B8699B">
        <w:tc>
          <w:tcPr>
            <w:tcW w:w="163.05pt" w:type="dxa"/>
          </w:tcPr>
          <w:p w14:paraId="2DF38E80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Barthel Index score at admission (SD)</w:t>
            </w:r>
          </w:p>
        </w:tc>
        <w:tc>
          <w:tcPr>
            <w:tcW w:w="80.60pt" w:type="dxa"/>
          </w:tcPr>
          <w:p w14:paraId="73AE7FB1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43.28 (27.79)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††</w:t>
            </w:r>
          </w:p>
        </w:tc>
        <w:tc>
          <w:tcPr>
            <w:tcW w:w="121.85pt" w:type="dxa"/>
          </w:tcPr>
          <w:p w14:paraId="0865962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42.18 (29.53)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††</w:t>
            </w:r>
          </w:p>
        </w:tc>
        <w:tc>
          <w:tcPr>
            <w:tcW w:w="121.85pt" w:type="dxa"/>
          </w:tcPr>
          <w:p w14:paraId="3C3EECF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44.49 (25.85)</w:t>
            </w:r>
          </w:p>
        </w:tc>
      </w:tr>
      <w:tr w:rsidR="00126D87" w:rsidRPr="008330E5" w14:paraId="285E5DFC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4946E8B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Tinetti score variation (SD)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4059DB0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6.75 (8.26)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523406F0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4.52 (7.13)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30FB00E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9.36 (8.75)</w:t>
            </w:r>
          </w:p>
        </w:tc>
      </w:tr>
      <w:tr w:rsidR="00126D87" w:rsidRPr="008330E5" w14:paraId="4A42250F" w14:textId="77777777" w:rsidTr="00B8699B">
        <w:tc>
          <w:tcPr>
            <w:tcW w:w="163.05pt" w:type="dxa"/>
            <w:tcBorders>
              <w:bottom w:val="single" w:sz="4" w:space="0" w:color="auto"/>
            </w:tcBorders>
          </w:tcPr>
          <w:p w14:paraId="47484BA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Barthel Index score variation (SD)</w:t>
            </w:r>
          </w:p>
          <w:p w14:paraId="3B8A83C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0.60pt" w:type="dxa"/>
            <w:tcBorders>
              <w:bottom w:val="single" w:sz="4" w:space="0" w:color="auto"/>
            </w:tcBorders>
          </w:tcPr>
          <w:p w14:paraId="4BEF5CA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13.04 (16.76)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  <w:tcBorders>
              <w:bottom w:val="single" w:sz="4" w:space="0" w:color="auto"/>
            </w:tcBorders>
          </w:tcPr>
          <w:p w14:paraId="38C1BB26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7.29 (12.66)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</w:t>
            </w:r>
          </w:p>
        </w:tc>
        <w:tc>
          <w:tcPr>
            <w:tcW w:w="121.85pt" w:type="dxa"/>
            <w:tcBorders>
              <w:bottom w:val="single" w:sz="4" w:space="0" w:color="auto"/>
            </w:tcBorders>
          </w:tcPr>
          <w:p w14:paraId="7B3563C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19.73 (18.48)</w:t>
            </w:r>
          </w:p>
        </w:tc>
      </w:tr>
      <w:tr w:rsidR="00126D87" w:rsidRPr="008330E5" w14:paraId="3E52FA9E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single" w:sz="4" w:space="0" w:color="auto"/>
              <w:bottom w:val="none" w:sz="0" w:space="0" w:color="auto"/>
            </w:tcBorders>
          </w:tcPr>
          <w:p w14:paraId="669480D8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Clinical factors at admission</w:t>
            </w:r>
          </w:p>
        </w:tc>
        <w:tc>
          <w:tcPr>
            <w:tcW w:w="80.60pt" w:type="dxa"/>
            <w:tcBorders>
              <w:top w:val="single" w:sz="4" w:space="0" w:color="auto"/>
              <w:bottom w:val="none" w:sz="0" w:space="0" w:color="auto"/>
            </w:tcBorders>
          </w:tcPr>
          <w:p w14:paraId="6A1FDAD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none" w:sz="0" w:space="0" w:color="auto"/>
            </w:tcBorders>
          </w:tcPr>
          <w:p w14:paraId="631BA4C0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none" w:sz="0" w:space="0" w:color="auto"/>
            </w:tcBorders>
          </w:tcPr>
          <w:p w14:paraId="368C457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26D87" w:rsidRPr="008330E5" w14:paraId="734126E7" w14:textId="77777777" w:rsidTr="00B8699B">
        <w:tc>
          <w:tcPr>
            <w:tcW w:w="163.05pt" w:type="dxa"/>
          </w:tcPr>
          <w:p w14:paraId="1065654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Dementia (%)</w:t>
            </w:r>
          </w:p>
        </w:tc>
        <w:tc>
          <w:tcPr>
            <w:tcW w:w="80.60pt" w:type="dxa"/>
          </w:tcPr>
          <w:p w14:paraId="1CEC160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108 (5.4%)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*§†‡#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</w:tcPr>
          <w:p w14:paraId="28153F2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</w:tcPr>
          <w:p w14:paraId="52251270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26D87" w:rsidRPr="008330E5" w14:paraId="4583C7F2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257E726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Delirium (%)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7EF8282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62 (30.1%)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†‡§¶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1128F2E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48 (44.4%)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‡¶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††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6AFB4B4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14 (14.3%)</w:t>
            </w:r>
          </w:p>
        </w:tc>
      </w:tr>
      <w:tr w:rsidR="00126D87" w:rsidRPr="008330E5" w14:paraId="47C65159" w14:textId="77777777" w:rsidTr="00B8699B">
        <w:tc>
          <w:tcPr>
            <w:tcW w:w="163.05pt" w:type="dxa"/>
          </w:tcPr>
          <w:p w14:paraId="6B9A7125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lastRenderedPageBreak/>
              <w:t xml:space="preserve">Charlson  Comorbidity Index </w:t>
            </w:r>
          </w:p>
          <w:p w14:paraId="1EF3774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score (SD)</w:t>
            </w:r>
          </w:p>
        </w:tc>
        <w:tc>
          <w:tcPr>
            <w:tcW w:w="80.60pt" w:type="dxa"/>
          </w:tcPr>
          <w:p w14:paraId="7D349D4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2.88 (2.35)</w:t>
            </w:r>
          </w:p>
        </w:tc>
        <w:tc>
          <w:tcPr>
            <w:tcW w:w="121.85pt" w:type="dxa"/>
          </w:tcPr>
          <w:p w14:paraId="6683E5D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2.80 (2.30)</w:t>
            </w:r>
          </w:p>
        </w:tc>
        <w:tc>
          <w:tcPr>
            <w:tcW w:w="121.85pt" w:type="dxa"/>
          </w:tcPr>
          <w:p w14:paraId="6D148885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2.03 (2.12)</w:t>
            </w:r>
          </w:p>
        </w:tc>
      </w:tr>
      <w:tr w:rsidR="00126D87" w:rsidRPr="008330E5" w14:paraId="149B6055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1E2BA710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Visual impairment (%)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0BB4E19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143 (69.4%)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353F09F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68 (63%)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4E6F083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75 (76.5%)*</w:t>
            </w:r>
          </w:p>
        </w:tc>
      </w:tr>
      <w:tr w:rsidR="00126D87" w:rsidRPr="008330E5" w14:paraId="39F5A1EA" w14:textId="77777777" w:rsidTr="00B8699B">
        <w:tc>
          <w:tcPr>
            <w:tcW w:w="163.05pt" w:type="dxa"/>
          </w:tcPr>
          <w:p w14:paraId="27CB466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Hearing impairment (%)</w:t>
            </w:r>
          </w:p>
        </w:tc>
        <w:tc>
          <w:tcPr>
            <w:tcW w:w="80.60pt" w:type="dxa"/>
          </w:tcPr>
          <w:p w14:paraId="3C5835E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54 (26.2%)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#</w:t>
            </w:r>
          </w:p>
        </w:tc>
        <w:tc>
          <w:tcPr>
            <w:tcW w:w="121.85pt" w:type="dxa"/>
          </w:tcPr>
          <w:p w14:paraId="1F19CFD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31 (28.7%)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#</w:t>
            </w:r>
          </w:p>
        </w:tc>
        <w:tc>
          <w:tcPr>
            <w:tcW w:w="121.85pt" w:type="dxa"/>
          </w:tcPr>
          <w:p w14:paraId="3C483A6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23 (23.5%)</w:t>
            </w:r>
          </w:p>
        </w:tc>
      </w:tr>
      <w:tr w:rsidR="00126D87" w:rsidRPr="008330E5" w14:paraId="2E125DE2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1F516AB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Albumin g/dl (SD)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1176FC98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3.64 (0.56)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†‡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1CC5031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3.73 (0.64)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4D14B28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3.53 (0.44)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††</w:t>
            </w:r>
          </w:p>
        </w:tc>
      </w:tr>
      <w:tr w:rsidR="00126D87" w:rsidRPr="008330E5" w14:paraId="4B3A3BB3" w14:textId="77777777" w:rsidTr="00B8699B">
        <w:tc>
          <w:tcPr>
            <w:tcW w:w="163.05pt" w:type="dxa"/>
          </w:tcPr>
          <w:p w14:paraId="11A8635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Glucose mg/dl (SD)</w:t>
            </w:r>
          </w:p>
        </w:tc>
        <w:tc>
          <w:tcPr>
            <w:tcW w:w="80.60pt" w:type="dxa"/>
          </w:tcPr>
          <w:p w14:paraId="03F8024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110.08 (45.92)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</w:t>
            </w:r>
          </w:p>
        </w:tc>
        <w:tc>
          <w:tcPr>
            <w:tcW w:w="121.85pt" w:type="dxa"/>
          </w:tcPr>
          <w:p w14:paraId="5C7D5448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108.43 (42.66)</w:t>
            </w:r>
          </w:p>
        </w:tc>
        <w:tc>
          <w:tcPr>
            <w:tcW w:w="121.85pt" w:type="dxa"/>
          </w:tcPr>
          <w:p w14:paraId="4F17483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111.89 (49.42)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†‡</w:t>
            </w:r>
          </w:p>
        </w:tc>
      </w:tr>
      <w:tr w:rsidR="00126D87" w:rsidRPr="008330E5" w14:paraId="6DEDC26F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1411141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Sodium (mEq/L) (SD)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6E3BF2C5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137.24 (3.95)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0CDD4F8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138.12 (3.51)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2141A1E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136.27 (4.18)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‡</w:t>
            </w:r>
          </w:p>
        </w:tc>
      </w:tr>
      <w:tr w:rsidR="00126D87" w:rsidRPr="008330E5" w14:paraId="172A7EBC" w14:textId="77777777" w:rsidTr="00B8699B">
        <w:tc>
          <w:tcPr>
            <w:tcW w:w="163.05pt" w:type="dxa"/>
          </w:tcPr>
          <w:p w14:paraId="55490526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Creatinine mg/dl (SD)</w:t>
            </w:r>
          </w:p>
        </w:tc>
        <w:tc>
          <w:tcPr>
            <w:tcW w:w="80.60pt" w:type="dxa"/>
          </w:tcPr>
          <w:p w14:paraId="6D57612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1.12 (0.52)</w:t>
            </w:r>
          </w:p>
        </w:tc>
        <w:tc>
          <w:tcPr>
            <w:tcW w:w="121.85pt" w:type="dxa"/>
          </w:tcPr>
          <w:p w14:paraId="4C366FD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1.10 (0.45)</w:t>
            </w:r>
          </w:p>
        </w:tc>
        <w:tc>
          <w:tcPr>
            <w:tcW w:w="121.85pt" w:type="dxa"/>
          </w:tcPr>
          <w:p w14:paraId="5F6DED0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1.15 (0.58)*</w:t>
            </w:r>
            <w:r>
              <w:rPr>
                <w:rFonts w:ascii="Arial" w:hAnsi="Arial" w:cs="Arial"/>
                <w:sz w:val="18"/>
                <w:szCs w:val="18"/>
                <w:lang w:val="en-GB"/>
              </w:rPr>
              <w:t>‡</w:t>
            </w:r>
          </w:p>
        </w:tc>
      </w:tr>
      <w:tr w:rsidR="00126D87" w:rsidRPr="008330E5" w14:paraId="44739C5F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544CA25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Haemoglobin g/dl (SD)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1AFC348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11.63 (1.77)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5878DC5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11.92 (1.73)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2FAABF24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11.30 (1.76)</w:t>
            </w:r>
          </w:p>
        </w:tc>
      </w:tr>
      <w:tr w:rsidR="00126D87" w:rsidRPr="008330E5" w14:paraId="7A51108B" w14:textId="77777777" w:rsidTr="00B8699B">
        <w:tc>
          <w:tcPr>
            <w:tcW w:w="163.05pt" w:type="dxa"/>
            <w:tcBorders>
              <w:bottom w:val="single" w:sz="4" w:space="0" w:color="auto"/>
            </w:tcBorders>
          </w:tcPr>
          <w:p w14:paraId="2242CF9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N/L ratio (SD)</w:t>
            </w:r>
          </w:p>
          <w:p w14:paraId="7823917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0.60pt" w:type="dxa"/>
            <w:tcBorders>
              <w:bottom w:val="single" w:sz="4" w:space="0" w:color="auto"/>
            </w:tcBorders>
          </w:tcPr>
          <w:p w14:paraId="0790CE30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3.36 (3.01)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¶††</w:t>
            </w:r>
          </w:p>
        </w:tc>
        <w:tc>
          <w:tcPr>
            <w:tcW w:w="121.85pt" w:type="dxa"/>
            <w:tcBorders>
              <w:bottom w:val="single" w:sz="4" w:space="0" w:color="auto"/>
            </w:tcBorders>
          </w:tcPr>
          <w:p w14:paraId="5942CB65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2.91 (2.51)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¶††</w:t>
            </w:r>
          </w:p>
        </w:tc>
        <w:tc>
          <w:tcPr>
            <w:tcW w:w="121.85pt" w:type="dxa"/>
            <w:tcBorders>
              <w:bottom w:val="single" w:sz="4" w:space="0" w:color="auto"/>
            </w:tcBorders>
          </w:tcPr>
          <w:p w14:paraId="7281D83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3.85 (3.40)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</w:t>
            </w:r>
          </w:p>
        </w:tc>
      </w:tr>
      <w:tr w:rsidR="00126D87" w:rsidRPr="008330E5" w14:paraId="3E7D7B42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single" w:sz="4" w:space="0" w:color="auto"/>
              <w:bottom w:val="none" w:sz="0" w:space="0" w:color="auto"/>
            </w:tcBorders>
          </w:tcPr>
          <w:p w14:paraId="12F49ED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Drug variables</w:t>
            </w:r>
          </w:p>
        </w:tc>
        <w:tc>
          <w:tcPr>
            <w:tcW w:w="80.60pt" w:type="dxa"/>
            <w:tcBorders>
              <w:top w:val="single" w:sz="4" w:space="0" w:color="auto"/>
              <w:bottom w:val="none" w:sz="0" w:space="0" w:color="auto"/>
            </w:tcBorders>
          </w:tcPr>
          <w:p w14:paraId="4D7F02DC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none" w:sz="0" w:space="0" w:color="auto"/>
            </w:tcBorders>
          </w:tcPr>
          <w:p w14:paraId="1C9DA0D1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none" w:sz="0" w:space="0" w:color="auto"/>
            </w:tcBorders>
          </w:tcPr>
          <w:p w14:paraId="662F452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26D87" w:rsidRPr="008330E5" w14:paraId="51B2A0CB" w14:textId="77777777" w:rsidTr="00B8699B">
        <w:tc>
          <w:tcPr>
            <w:tcW w:w="163.05pt" w:type="dxa"/>
          </w:tcPr>
          <w:p w14:paraId="6EEE576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ACB score at admission (SD)</w:t>
            </w:r>
          </w:p>
        </w:tc>
        <w:tc>
          <w:tcPr>
            <w:tcW w:w="80.60pt" w:type="dxa"/>
          </w:tcPr>
          <w:p w14:paraId="489B4496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2.19 (1.88)</w:t>
            </w:r>
          </w:p>
        </w:tc>
        <w:tc>
          <w:tcPr>
            <w:tcW w:w="121.85pt" w:type="dxa"/>
          </w:tcPr>
          <w:p w14:paraId="07A2FD3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2.69 (1.69)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††</w:t>
            </w:r>
          </w:p>
        </w:tc>
        <w:tc>
          <w:tcPr>
            <w:tcW w:w="121.85pt" w:type="dxa"/>
          </w:tcPr>
          <w:p w14:paraId="12DA09B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1.64 (1.92)</w:t>
            </w:r>
          </w:p>
        </w:tc>
      </w:tr>
      <w:tr w:rsidR="00126D87" w:rsidRPr="008330E5" w14:paraId="2C521EC3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4CCF6F40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Use of antipsychotics at admission (%)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4CEBCC7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96 (46.6%)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0D10698C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68 (63%)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††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49ADD1B0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28 (28.6%)</w:t>
            </w:r>
          </w:p>
        </w:tc>
      </w:tr>
      <w:tr w:rsidR="00126D87" w:rsidRPr="008330E5" w14:paraId="59681F3F" w14:textId="77777777" w:rsidTr="00B8699B">
        <w:tc>
          <w:tcPr>
            <w:tcW w:w="163.05pt" w:type="dxa"/>
          </w:tcPr>
          <w:p w14:paraId="6572DFC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ACB at discharge (SD)</w:t>
            </w:r>
          </w:p>
        </w:tc>
        <w:tc>
          <w:tcPr>
            <w:tcW w:w="80.60pt" w:type="dxa"/>
          </w:tcPr>
          <w:p w14:paraId="0300A7D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2.56 (2.07)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§¶</w:t>
            </w:r>
          </w:p>
        </w:tc>
        <w:tc>
          <w:tcPr>
            <w:tcW w:w="121.85pt" w:type="dxa"/>
          </w:tcPr>
          <w:p w14:paraId="4B32EFC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3.04 (1.90)</w:t>
            </w:r>
          </w:p>
        </w:tc>
        <w:tc>
          <w:tcPr>
            <w:tcW w:w="121.85pt" w:type="dxa"/>
          </w:tcPr>
          <w:p w14:paraId="7C2603A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2.03 (2.12)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</w:t>
            </w:r>
          </w:p>
        </w:tc>
      </w:tr>
      <w:tr w:rsidR="00126D87" w:rsidRPr="008330E5" w14:paraId="49BCAEB0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0A83A99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Use of antipsychotics at discharge (%) 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780E3A21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109 (52.9%)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†‡¶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54D9053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75 (69.4%)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24AADBB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34 (34.7%)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</w:t>
            </w:r>
          </w:p>
        </w:tc>
      </w:tr>
      <w:tr w:rsidR="00126D87" w:rsidRPr="008330E5" w14:paraId="6A3CFD55" w14:textId="77777777" w:rsidTr="00B8699B">
        <w:tc>
          <w:tcPr>
            <w:tcW w:w="163.05pt" w:type="dxa"/>
          </w:tcPr>
          <w:p w14:paraId="6686654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Use of benzodiazepines at </w:t>
            </w:r>
          </w:p>
          <w:p w14:paraId="4CE8891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discharge (%)</w:t>
            </w:r>
          </w:p>
        </w:tc>
        <w:tc>
          <w:tcPr>
            <w:tcW w:w="80.60pt" w:type="dxa"/>
          </w:tcPr>
          <w:p w14:paraId="0FDF526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74 (35.9%)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*</w:t>
            </w:r>
          </w:p>
        </w:tc>
        <w:tc>
          <w:tcPr>
            <w:tcW w:w="121.85pt" w:type="dxa"/>
          </w:tcPr>
          <w:p w14:paraId="056A061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36 (33.3%)</w:t>
            </w:r>
          </w:p>
        </w:tc>
        <w:tc>
          <w:tcPr>
            <w:tcW w:w="121.85pt" w:type="dxa"/>
          </w:tcPr>
          <w:p w14:paraId="4F78D981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38 (38.8%)*</w:t>
            </w:r>
          </w:p>
        </w:tc>
      </w:tr>
      <w:tr w:rsidR="00126D87" w:rsidRPr="008330E5" w14:paraId="34F73B8B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40CF8D0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Use of PPIs at discharge (%)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7563307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141 (68.4%)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*†‡¶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79484CE1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67 (62%)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65BA3E5C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74 (75.5%)*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</w:t>
            </w:r>
          </w:p>
        </w:tc>
      </w:tr>
      <w:tr w:rsidR="00126D87" w:rsidRPr="008330E5" w14:paraId="4D12A57A" w14:textId="77777777" w:rsidTr="00B8699B">
        <w:tc>
          <w:tcPr>
            <w:tcW w:w="163.05pt" w:type="dxa"/>
          </w:tcPr>
          <w:p w14:paraId="0BB42176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Use of antidepressants at </w:t>
            </w:r>
          </w:p>
          <w:p w14:paraId="187456C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discharge (%)</w:t>
            </w:r>
          </w:p>
        </w:tc>
        <w:tc>
          <w:tcPr>
            <w:tcW w:w="80.60pt" w:type="dxa"/>
          </w:tcPr>
          <w:p w14:paraId="4232D36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58 (28.2%)</w:t>
            </w:r>
          </w:p>
        </w:tc>
        <w:tc>
          <w:tcPr>
            <w:tcW w:w="121.85pt" w:type="dxa"/>
          </w:tcPr>
          <w:p w14:paraId="32E4396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28 (25.9%)</w:t>
            </w:r>
          </w:p>
        </w:tc>
        <w:tc>
          <w:tcPr>
            <w:tcW w:w="121.85pt" w:type="dxa"/>
          </w:tcPr>
          <w:p w14:paraId="787C213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30 (30.6%)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#</w:t>
            </w:r>
          </w:p>
        </w:tc>
      </w:tr>
      <w:tr w:rsidR="00126D87" w:rsidRPr="008330E5" w14:paraId="7917CBAF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none" w:sz="0" w:space="0" w:color="auto"/>
            </w:tcBorders>
          </w:tcPr>
          <w:p w14:paraId="5F630E36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Use of opiates at discharge (%)</w:t>
            </w:r>
          </w:p>
        </w:tc>
        <w:tc>
          <w:tcPr>
            <w:tcW w:w="80.60pt" w:type="dxa"/>
            <w:tcBorders>
              <w:top w:val="none" w:sz="0" w:space="0" w:color="auto"/>
              <w:bottom w:val="none" w:sz="0" w:space="0" w:color="auto"/>
            </w:tcBorders>
          </w:tcPr>
          <w:p w14:paraId="7625261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39 (18.9%)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0A33904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16 (14.8%)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  <w:tcBorders>
              <w:top w:val="none" w:sz="0" w:space="0" w:color="auto"/>
              <w:bottom w:val="none" w:sz="0" w:space="0" w:color="auto"/>
            </w:tcBorders>
          </w:tcPr>
          <w:p w14:paraId="7732F61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23 (23.5%)</w:t>
            </w:r>
          </w:p>
        </w:tc>
      </w:tr>
      <w:tr w:rsidR="00126D87" w:rsidRPr="008330E5" w14:paraId="7E110938" w14:textId="77777777" w:rsidTr="00B8699B">
        <w:tc>
          <w:tcPr>
            <w:tcW w:w="163.05pt" w:type="dxa"/>
            <w:tcBorders>
              <w:bottom w:val="single" w:sz="4" w:space="0" w:color="auto"/>
            </w:tcBorders>
          </w:tcPr>
          <w:p w14:paraId="20EDF82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Use of clomethiazole</w:t>
            </w:r>
            <w:r w:rsidRPr="008330E5" w:rsidDel="001B7823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 </w:t>
            </w: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at discharge (%)</w:t>
            </w:r>
          </w:p>
          <w:p w14:paraId="6456BD1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0.60pt" w:type="dxa"/>
            <w:tcBorders>
              <w:bottom w:val="single" w:sz="4" w:space="0" w:color="auto"/>
            </w:tcBorders>
          </w:tcPr>
          <w:p w14:paraId="6EA05CD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53 (25.7%)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  <w:tcBorders>
              <w:bottom w:val="single" w:sz="4" w:space="0" w:color="auto"/>
            </w:tcBorders>
          </w:tcPr>
          <w:p w14:paraId="191777C2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31 (28.7%)</w:t>
            </w:r>
          </w:p>
        </w:tc>
        <w:tc>
          <w:tcPr>
            <w:tcW w:w="121.85pt" w:type="dxa"/>
            <w:tcBorders>
              <w:bottom w:val="single" w:sz="4" w:space="0" w:color="auto"/>
            </w:tcBorders>
          </w:tcPr>
          <w:p w14:paraId="345A0F7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22 (22.4%)</w:t>
            </w:r>
          </w:p>
        </w:tc>
      </w:tr>
      <w:tr w:rsidR="00126D87" w:rsidRPr="008330E5" w14:paraId="0F73B823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single" w:sz="4" w:space="0" w:color="auto"/>
              <w:bottom w:val="none" w:sz="0" w:space="0" w:color="auto"/>
            </w:tcBorders>
          </w:tcPr>
          <w:p w14:paraId="6E9BAF3D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Variables during admission</w:t>
            </w:r>
          </w:p>
        </w:tc>
        <w:tc>
          <w:tcPr>
            <w:tcW w:w="80.60pt" w:type="dxa"/>
            <w:tcBorders>
              <w:top w:val="single" w:sz="4" w:space="0" w:color="auto"/>
              <w:bottom w:val="none" w:sz="0" w:space="0" w:color="auto"/>
            </w:tcBorders>
          </w:tcPr>
          <w:p w14:paraId="659EA7C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none" w:sz="0" w:space="0" w:color="auto"/>
            </w:tcBorders>
          </w:tcPr>
          <w:p w14:paraId="1297576F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21.85pt" w:type="dxa"/>
            <w:tcBorders>
              <w:top w:val="single" w:sz="4" w:space="0" w:color="auto"/>
              <w:bottom w:val="none" w:sz="0" w:space="0" w:color="auto"/>
            </w:tcBorders>
          </w:tcPr>
          <w:p w14:paraId="53020481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</w:tr>
      <w:tr w:rsidR="00126D87" w:rsidRPr="008330E5" w14:paraId="438244A1" w14:textId="77777777" w:rsidTr="00B8699B">
        <w:tc>
          <w:tcPr>
            <w:tcW w:w="163.05pt" w:type="dxa"/>
          </w:tcPr>
          <w:p w14:paraId="656BC013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Length of stay (days) (SD)</w:t>
            </w:r>
          </w:p>
        </w:tc>
        <w:tc>
          <w:tcPr>
            <w:tcW w:w="80.60pt" w:type="dxa"/>
          </w:tcPr>
          <w:p w14:paraId="71B47CEE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67.47 (68.20)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*†‡§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</w:tcPr>
          <w:p w14:paraId="3429A31C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58.91 (66.34)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*†‡</w:t>
            </w:r>
            <w:r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‡</w:t>
            </w:r>
          </w:p>
        </w:tc>
        <w:tc>
          <w:tcPr>
            <w:tcW w:w="121.85pt" w:type="dxa"/>
          </w:tcPr>
          <w:p w14:paraId="3C632B56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76.91 (69.31)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§#</w:t>
            </w:r>
          </w:p>
        </w:tc>
      </w:tr>
      <w:tr w:rsidR="00126D87" w:rsidRPr="008330E5" w14:paraId="44E925F4" w14:textId="77777777" w:rsidTr="00B8699B">
        <w:trPr>
          <w:cnfStyle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163.05pt" w:type="dxa"/>
            <w:tcBorders>
              <w:top w:val="none" w:sz="0" w:space="0" w:color="auto"/>
              <w:bottom w:val="single" w:sz="4" w:space="0" w:color="auto"/>
            </w:tcBorders>
          </w:tcPr>
          <w:p w14:paraId="778FABC7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sz w:val="18"/>
                <w:szCs w:val="18"/>
                <w:lang w:val="en-GB"/>
              </w:rPr>
              <w:t>Use of physical restraints (%)</w:t>
            </w:r>
          </w:p>
          <w:p w14:paraId="5DBDE295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80.60pt" w:type="dxa"/>
            <w:tcBorders>
              <w:top w:val="none" w:sz="0" w:space="0" w:color="auto"/>
              <w:bottom w:val="single" w:sz="4" w:space="0" w:color="auto"/>
            </w:tcBorders>
          </w:tcPr>
          <w:p w14:paraId="58AA608B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21 (10.2%)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</w:t>
            </w:r>
          </w:p>
        </w:tc>
        <w:tc>
          <w:tcPr>
            <w:tcW w:w="121.85pt" w:type="dxa"/>
            <w:tcBorders>
              <w:top w:val="none" w:sz="0" w:space="0" w:color="auto"/>
              <w:bottom w:val="single" w:sz="4" w:space="0" w:color="auto"/>
            </w:tcBorders>
          </w:tcPr>
          <w:p w14:paraId="1B469C59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13 (12%)</w:t>
            </w:r>
          </w:p>
        </w:tc>
        <w:tc>
          <w:tcPr>
            <w:tcW w:w="121.85pt" w:type="dxa"/>
            <w:tcBorders>
              <w:top w:val="none" w:sz="0" w:space="0" w:color="auto"/>
              <w:bottom w:val="single" w:sz="4" w:space="0" w:color="auto"/>
            </w:tcBorders>
          </w:tcPr>
          <w:p w14:paraId="7EE8D2BA" w14:textId="77777777" w:rsidR="00126D87" w:rsidRPr="008330E5" w:rsidRDefault="00126D87" w:rsidP="00B8699B">
            <w:pPr>
              <w:pStyle w:val="Body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spacing w:line="24pt" w:lineRule="auto"/>
              <w:ind w:end="-7.10pt"/>
              <w:jc w:val="center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>8 (8.2%)</w:t>
            </w:r>
            <w:r w:rsidRPr="008330E5">
              <w:rPr>
                <w:rFonts w:ascii="Arial" w:hAnsi="Arial" w:cs="Arial"/>
                <w:sz w:val="18"/>
                <w:szCs w:val="18"/>
                <w:vertAlign w:val="superscript"/>
                <w:lang w:val="en-GB"/>
              </w:rPr>
              <w:t>¶</w:t>
            </w:r>
          </w:p>
        </w:tc>
      </w:tr>
      <w:tr w:rsidR="00126D87" w:rsidRPr="008330E5" w14:paraId="2219B515" w14:textId="77777777" w:rsidTr="00B8699B">
        <w:tc>
          <w:tcPr>
            <w:tcW w:w="487.35pt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14:paraId="3F61C933" w14:textId="77777777" w:rsidR="00126D87" w:rsidRDefault="00126D87" w:rsidP="00B8699B">
            <w:pP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415E96">
              <w:rPr>
                <w:rFonts w:ascii="Arial" w:hAnsi="Arial" w:cs="Arial"/>
                <w:sz w:val="18"/>
                <w:szCs w:val="18"/>
                <w:lang w:val="en-GB"/>
              </w:rPr>
              <w:t xml:space="preserve">ACB: Anticholinergic Cognitive Burden scale. PPI: Proton Pump Inhibitors. N/L: ratio: Neutrophil/Linphocyte ratio </w:t>
            </w:r>
          </w:p>
          <w:p w14:paraId="25706EEA" w14:textId="77777777" w:rsidR="00126D87" w:rsidRPr="008330E5" w:rsidRDefault="00126D87" w:rsidP="00B8699B">
            <w:pPr>
              <w:spacing w:line="24pt" w:lineRule="auto"/>
              <w:ind w:end="-7.10pt"/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</w:pPr>
            <w:r w:rsidRPr="007771C0">
              <w:rPr>
                <w:rFonts w:ascii="Arial" w:hAnsi="Arial" w:cs="Arial"/>
                <w:sz w:val="18"/>
                <w:szCs w:val="18"/>
                <w:lang w:val="en-GB"/>
              </w:rPr>
              <w:lastRenderedPageBreak/>
              <w:t>We only show variables with significant relationships</w:t>
            </w:r>
            <w:r w:rsidRPr="008330E5">
              <w:rPr>
                <w:rFonts w:ascii="Arial" w:hAnsi="Arial" w:cs="Arial"/>
                <w:sz w:val="18"/>
                <w:szCs w:val="18"/>
                <w:lang w:val="en-GB"/>
              </w:rPr>
              <w:t xml:space="preserve"> (p&lt;0.05, except for "haemoglobin" which is included with p=0.053). The results are presented as frequencies (percentages) for discrete variables and means ± standard deviations for continuous variables.</w:t>
            </w:r>
          </w:p>
          <w:p w14:paraId="655BC220" w14:textId="77777777" w:rsidR="00126D87" w:rsidRPr="008330E5" w:rsidRDefault="00126D87" w:rsidP="00B8699B">
            <w:pP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>The data are reported as the mean (standard deviation) and frequency (percentage%).</w:t>
            </w:r>
          </w:p>
          <w:p w14:paraId="0C332B88" w14:textId="77777777" w:rsidR="00126D87" w:rsidRPr="008330E5" w:rsidRDefault="00126D87" w:rsidP="00B8699B">
            <w:pPr>
              <w:spacing w:line="24pt" w:lineRule="auto"/>
              <w:ind w:end="-7.10pt"/>
              <w:rPr>
                <w:rFonts w:ascii="Arial" w:hAnsi="Arial" w:cs="Arial"/>
                <w:sz w:val="18"/>
                <w:szCs w:val="18"/>
                <w:lang w:val="en-GB"/>
              </w:rPr>
            </w:pPr>
            <w:r w:rsidRPr="008330E5"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 xml:space="preserve">Significant relationship with: </w:t>
            </w:r>
            <w:r w:rsidRPr="008330E5">
              <w:rPr>
                <w:rFonts w:ascii="Arial" w:eastAsia="Arial" w:hAnsi="Arial" w:cs="Arial"/>
                <w:color w:val="000000"/>
                <w:sz w:val="18"/>
                <w:szCs w:val="18"/>
                <w:vertAlign w:val="superscript"/>
                <w:lang w:val="en-GB"/>
              </w:rPr>
              <w:t>*</w:t>
            </w:r>
            <w:r w:rsidRPr="008330E5"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 xml:space="preserve"> FAC score variation, † Tinetti score variation, ‡ Barthel Index score variation, § autonomous at discharge, ¶ specific support at discharge, # high dependency at discharge, </w:t>
            </w:r>
            <w:r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>‡</w:t>
            </w:r>
            <w:r w:rsidRPr="008330E5">
              <w:rPr>
                <w:rFonts w:ascii="Arial" w:eastAsia="Arial" w:hAnsi="Arial" w:cs="Arial"/>
                <w:color w:val="000000"/>
                <w:sz w:val="18"/>
                <w:szCs w:val="18"/>
                <w:lang w:val="en-GB"/>
              </w:rPr>
              <w:t xml:space="preserve"> residence at discharge, †† death.</w:t>
            </w:r>
          </w:p>
        </w:tc>
      </w:tr>
    </w:tbl>
    <w:p w14:paraId="4F44B4B4" w14:textId="77777777" w:rsidR="00126D87" w:rsidRPr="008330E5" w:rsidRDefault="00126D87" w:rsidP="00126D87">
      <w:pPr>
        <w:tabs>
          <w:tab w:val="start" w:pos="46pt"/>
        </w:tabs>
        <w:spacing w:line="24pt" w:lineRule="auto"/>
        <w:ind w:end="-35.45pt"/>
        <w:jc w:val="both"/>
        <w:rPr>
          <w:rFonts w:ascii="Arial" w:hAnsi="Arial" w:cs="Arial"/>
          <w:sz w:val="18"/>
          <w:szCs w:val="18"/>
          <w:lang w:val="en-GB"/>
        </w:rPr>
      </w:pPr>
    </w:p>
    <w:p w14:paraId="1AC296B0" w14:textId="77777777" w:rsidR="008C374B" w:rsidRDefault="008C374B"/>
    <w:sectPr w:rsidR="008C374B">
      <w:pgSz w:w="612pt" w:h="792pt"/>
      <w:pgMar w:top="72pt" w:right="72pt" w:bottom="72pt" w:left="72pt" w:header="36pt" w:footer="36pt" w:gutter="0pt"/>
      <w:cols w:space="36pt"/>
      <w:docGrid w:linePitch="360"/>
    </w:sectPr>
  </w:body>
</w:document>
</file>

<file path=word/fontTable.xml><?xml version="1.0" encoding="utf-8"?>
<w:font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characterSet="iso-8859-1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characterSet="iso-8859-1"/>
    <w:family w:val="roman"/>
    <w:pitch w:val="variable"/>
    <w:sig w:usb0="E0002EFF" w:usb1="C000785B" w:usb2="00000009" w:usb3="00000000" w:csb0="000001FF" w:csb1="00000000"/>
  </w:font>
  <w:font w:name="Aptos Display">
    <w:charset w:characterSet="iso-8859-1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characterSet="iso-8859-1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characterSet="shift_jis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characterSet="iso-8859-1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purl.oclc.org/ooxml/officeDocument/relationships" xmlns:m="http://purl.oclc.org/ooxml/officeDocument/math" xmlns:v="urn:schemas-microsoft-com:vml" xmlns:w10="urn:schemas-microsoft-com:office:word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%"/>
  <w:defaultTabStop w:val="36pt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D87"/>
    <w:rsid w:val="00126D87"/>
    <w:rsid w:val="002267EB"/>
    <w:rsid w:val="002A5090"/>
    <w:rsid w:val="003F36CB"/>
    <w:rsid w:val="008C374B"/>
    <w:rsid w:val="00954821"/>
    <w:rsid w:val="00AF416B"/>
    <w:rsid w:val="00E459B1"/>
    <w:rsid w:val="00E910FB"/>
    <w:rsid w:val="00FD2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81D32F9"/>
  <w15:chartTrackingRefBased/>
  <w15:docId w15:val="{54219F73-8878-428A-B83E-7D94AA5C4A91}"/>
</w:settings>
</file>

<file path=word/styles.xml><?xml version="1.0" encoding="utf-8"?>
<w:style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8pt" w:line="12.95pt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D87"/>
    <w:rPr>
      <w:noProof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6D87"/>
    <w:pPr>
      <w:keepNext/>
      <w:keepLines/>
      <w:spacing w:before="18pt" w:after="4pt"/>
      <w:outlineLvl w:val="0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6D87"/>
    <w:pPr>
      <w:keepNext/>
      <w:keepLines/>
      <w:spacing w:before="8pt" w:after="4pt"/>
      <w:outlineLvl w:val="1"/>
    </w:pPr>
    <w:rPr>
      <w:rFonts w:asciiTheme="majorHAnsi" w:eastAsiaTheme="majorEastAsia" w:hAnsiTheme="majorHAnsi" w:cstheme="majorBidi"/>
      <w:noProof w:val="0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6D87"/>
    <w:pPr>
      <w:keepNext/>
      <w:keepLines/>
      <w:spacing w:before="8pt" w:after="4pt"/>
      <w:outlineLvl w:val="2"/>
    </w:pPr>
    <w:rPr>
      <w:rFonts w:eastAsiaTheme="majorEastAsia" w:cstheme="majorBidi"/>
      <w:noProof w:val="0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6D87"/>
    <w:pPr>
      <w:keepNext/>
      <w:keepLines/>
      <w:spacing w:before="4pt" w:after="2pt"/>
      <w:outlineLvl w:val="3"/>
    </w:pPr>
    <w:rPr>
      <w:rFonts w:eastAsiaTheme="majorEastAsia" w:cstheme="majorBidi"/>
      <w:i/>
      <w:iCs/>
      <w:noProof w:val="0"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6D87"/>
    <w:pPr>
      <w:keepNext/>
      <w:keepLines/>
      <w:spacing w:before="4pt" w:after="2pt"/>
      <w:outlineLvl w:val="4"/>
    </w:pPr>
    <w:rPr>
      <w:rFonts w:eastAsiaTheme="majorEastAsia" w:cstheme="majorBidi"/>
      <w:noProof w:val="0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6D87"/>
    <w:pPr>
      <w:keepNext/>
      <w:keepLines/>
      <w:spacing w:before="2pt" w:after="0pt"/>
      <w:outlineLvl w:val="5"/>
    </w:pPr>
    <w:rPr>
      <w:rFonts w:eastAsiaTheme="majorEastAsia" w:cstheme="majorBidi"/>
      <w:i/>
      <w:iCs/>
      <w:noProof w:val="0"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6D87"/>
    <w:pPr>
      <w:keepNext/>
      <w:keepLines/>
      <w:spacing w:before="2pt" w:after="0pt"/>
      <w:outlineLvl w:val="6"/>
    </w:pPr>
    <w:rPr>
      <w:rFonts w:eastAsiaTheme="majorEastAsia" w:cstheme="majorBidi"/>
      <w:noProof w:val="0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6D87"/>
    <w:pPr>
      <w:keepNext/>
      <w:keepLines/>
      <w:spacing w:after="0pt"/>
      <w:outlineLvl w:val="7"/>
    </w:pPr>
    <w:rPr>
      <w:rFonts w:eastAsiaTheme="majorEastAsia" w:cstheme="majorBidi"/>
      <w:i/>
      <w:iCs/>
      <w:noProof w:val="0"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6D87"/>
    <w:pPr>
      <w:keepNext/>
      <w:keepLines/>
      <w:spacing w:after="0pt"/>
      <w:outlineLvl w:val="8"/>
    </w:pPr>
    <w:rPr>
      <w:rFonts w:eastAsiaTheme="majorEastAsia" w:cstheme="majorBidi"/>
      <w:noProof w:val="0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pt" w:type="dxa"/>
      <w:tblCellMar>
        <w:top w:w="0pt" w:type="dxa"/>
        <w:start w:w="5.40pt" w:type="dxa"/>
        <w:bottom w:w="0pt" w:type="dxa"/>
        <w:end w:w="5.40pt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6D8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6D8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6D8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6D8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6D8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6D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6D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6D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6D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6D87"/>
    <w:pPr>
      <w:spacing w:after="4pt" w:line="12pt" w:lineRule="auto"/>
      <w:contextualSpacing/>
    </w:pPr>
    <w:rPr>
      <w:rFonts w:asciiTheme="majorHAnsi" w:eastAsiaTheme="majorEastAsia" w:hAnsiTheme="majorHAnsi" w:cstheme="majorBidi"/>
      <w:noProof w:val="0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6D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6D87"/>
    <w:pPr>
      <w:numPr>
        <w:ilvl w:val="1"/>
      </w:numPr>
    </w:pPr>
    <w:rPr>
      <w:rFonts w:eastAsiaTheme="majorEastAsia" w:cstheme="majorBidi"/>
      <w:noProof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6D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6D87"/>
    <w:pPr>
      <w:spacing w:before="8pt"/>
      <w:jc w:val="center"/>
    </w:pPr>
    <w:rPr>
      <w:i/>
      <w:iCs/>
      <w:noProof w:val="0"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6D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6D87"/>
    <w:pPr>
      <w:ind w:start="36pt"/>
      <w:contextualSpacing/>
    </w:pPr>
    <w:rPr>
      <w:noProof w:val="0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6D8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6D8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18pt" w:after="18pt"/>
      <w:ind w:start="43.20pt" w:end="43.20pt"/>
      <w:jc w:val="center"/>
    </w:pPr>
    <w:rPr>
      <w:i/>
      <w:iCs/>
      <w:noProof w:val="0"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6D8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6D87"/>
    <w:rPr>
      <w:b/>
      <w:bCs/>
      <w:smallCaps/>
      <w:color w:val="0F4761" w:themeColor="accent1" w:themeShade="BF"/>
      <w:spacing w:val="5"/>
    </w:rPr>
  </w:style>
  <w:style w:type="paragraph" w:customStyle="1" w:styleId="Body">
    <w:name w:val="Body"/>
    <w:rsid w:val="00126D87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Calibri" w:eastAsia="Arial Unicode MS" w:hAnsi="Calibri" w:cs="Arial Unicode MS"/>
      <w:color w:val="000000"/>
      <w:kern w:val="0"/>
      <w:u w:color="000000"/>
      <w14:ligatures w14:val="none"/>
    </w:rPr>
  </w:style>
  <w:style w:type="table" w:customStyle="1" w:styleId="ListTable3-Accent31">
    <w:name w:val="List Table 3 - Accent 31"/>
    <w:basedOn w:val="TableNormal"/>
    <w:uiPriority w:val="48"/>
    <w:rsid w:val="00126D87"/>
    <w:pPr>
      <w:spacing w:after="0pt" w:line="12pt" w:lineRule="auto"/>
    </w:pPr>
    <w:rPr>
      <w:kern w:val="0"/>
      <w:lang w:val="es-ES"/>
      <w14:ligatures w14:val="none"/>
    </w:rPr>
    <w:tblPr>
      <w:tblStyleRowBandSize w:val="1"/>
      <w:tblStyleColBandSize w:val="1"/>
      <w:tblBorders>
        <w:top w:val="single" w:sz="4" w:space="0" w:color="196B24" w:themeColor="accent3"/>
        <w:start w:val="single" w:sz="4" w:space="0" w:color="196B24" w:themeColor="accent3"/>
        <w:bottom w:val="single" w:sz="4" w:space="0" w:color="196B24" w:themeColor="accent3"/>
        <w:end w:val="single" w:sz="4" w:space="0" w:color="196B24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96B24" w:themeFill="accent3"/>
      </w:tcPr>
    </w:tblStylePr>
    <w:tblStylePr w:type="lastRow">
      <w:rPr>
        <w:b/>
        <w:bCs/>
      </w:rPr>
      <w:tblPr/>
      <w:tcPr>
        <w:tcBorders>
          <w:top w:val="double" w:sz="4" w:space="0" w:color="196B24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end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start w:val="nil"/>
        </w:tcBorders>
        <w:shd w:val="clear" w:color="auto" w:fill="FFFFFF" w:themeFill="background1"/>
      </w:tcPr>
    </w:tblStylePr>
    <w:tblStylePr w:type="band1Vert">
      <w:tblPr/>
      <w:tcPr>
        <w:tcBorders>
          <w:start w:val="single" w:sz="4" w:space="0" w:color="196B24" w:themeColor="accent3"/>
          <w:end w:val="single" w:sz="4" w:space="0" w:color="196B24" w:themeColor="accent3"/>
        </w:tcBorders>
      </w:tcPr>
    </w:tblStylePr>
    <w:tblStylePr w:type="band1Horz">
      <w:tblPr/>
      <w:tcPr>
        <w:tcBorders>
          <w:top w:val="single" w:sz="4" w:space="0" w:color="196B24" w:themeColor="accent3"/>
          <w:bottom w:val="single" w:sz="4" w:space="0" w:color="196B24" w:themeColor="accent3"/>
          <w:insideH w:val="nil"/>
        </w:tcBorders>
      </w:tcPr>
    </w:tblStylePr>
    <w:tblStylePr w:type="neCell">
      <w:tblPr/>
      <w:tcPr>
        <w:tcBorders>
          <w:start w:val="nil"/>
          <w:bottom w:val="nil"/>
        </w:tcBorders>
      </w:tcPr>
    </w:tblStylePr>
    <w:tblStylePr w:type="nwCell">
      <w:tblPr/>
      <w:tcPr>
        <w:tcBorders>
          <w:bottom w:val="nil"/>
          <w:end w:val="nil"/>
        </w:tcBorders>
      </w:tcPr>
    </w:tblStylePr>
    <w:tblStylePr w:type="seCell">
      <w:tblPr/>
      <w:tcPr>
        <w:tcBorders>
          <w:top w:val="double" w:sz="4" w:space="0" w:color="196B24" w:themeColor="accent3"/>
          <w:start w:val="nil"/>
        </w:tcBorders>
      </w:tcPr>
    </w:tblStylePr>
    <w:tblStylePr w:type="swCell">
      <w:tblPr/>
      <w:tcPr>
        <w:tcBorders>
          <w:top w:val="double" w:sz="4" w:space="0" w:color="196B24" w:themeColor="accent3"/>
          <w:end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purl.oclc.org/ooxml/officeDocument/relationships" xmlns:w="http://purl.oclc.org/ooxml/wordprocessingml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purl.oclc.org/ooxml/officeDocument/relationships/webSettings" Target="webSettings.xml"/><Relationship Id="rId2" Type="http://purl.oclc.org/ooxml/officeDocument/relationships/settings" Target="settings.xml"/><Relationship Id="rId1" Type="http://purl.oclc.org/ooxml/officeDocument/relationships/styles" Target="styles.xml"/><Relationship Id="rId5" Type="http://purl.oclc.org/ooxml/officeDocument/relationships/theme" Target="theme/theme1.xml"/><Relationship Id="rId4" Type="http://purl.oclc.org/ooxml/officeDocument/relationships/fontTable" Target="fontTable.xml"/></Relationships>
</file>

<file path=word/theme/theme1.xml><?xml version="1.0" encoding="utf-8"?>
<a:theme xmlns:a="http://purl.oclc.org/ooxml/drawingml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%">
              <a:schemeClr val="phClr">
                <a:lumMod val="110%"/>
                <a:satMod val="105%"/>
                <a:tint val="67%"/>
              </a:schemeClr>
            </a:gs>
            <a:gs pos="50%">
              <a:schemeClr val="phClr">
                <a:lumMod val="105%"/>
                <a:satMod val="103%"/>
                <a:tint val="73%"/>
              </a:schemeClr>
            </a:gs>
            <a:gs pos="100%">
              <a:schemeClr val="phClr">
                <a:lumMod val="105%"/>
                <a:satMod val="109%"/>
                <a:tint val="81%"/>
              </a:schemeClr>
            </a:gs>
          </a:gsLst>
          <a:lin ang="5400000" scaled="0"/>
        </a:gradFill>
        <a:gradFill rotWithShape="1">
          <a:gsLst>
            <a:gs pos="0%">
              <a:schemeClr val="phClr">
                <a:satMod val="103%"/>
                <a:lumMod val="102%"/>
                <a:tint val="94%"/>
              </a:schemeClr>
            </a:gs>
            <a:gs pos="50%">
              <a:schemeClr val="phClr">
                <a:satMod val="110%"/>
                <a:lumMod val="100%"/>
                <a:shade val="100%"/>
              </a:schemeClr>
            </a:gs>
            <a:gs pos="100%">
              <a:schemeClr val="phClr">
                <a:lumMod val="99%"/>
                <a:satMod val="120%"/>
                <a:shade val="78%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%"/>
        </a:ln>
        <a:ln w="12700" cap="flat" cmpd="sng" algn="ctr">
          <a:solidFill>
            <a:schemeClr val="phClr"/>
          </a:solidFill>
          <a:prstDash val="solid"/>
          <a:miter lim="800%"/>
        </a:ln>
        <a:ln w="19050" cap="flat" cmpd="sng" algn="ctr">
          <a:solidFill>
            <a:schemeClr val="phClr"/>
          </a:solidFill>
          <a:prstDash val="solid"/>
          <a:miter lim="800%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%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%"/>
            <a:satMod val="170%"/>
          </a:schemeClr>
        </a:solidFill>
        <a:gradFill rotWithShape="1">
          <a:gsLst>
            <a:gs pos="0%">
              <a:schemeClr val="phClr">
                <a:tint val="93%"/>
                <a:satMod val="150%"/>
                <a:shade val="98%"/>
                <a:lumMod val="102%"/>
              </a:schemeClr>
            </a:gs>
            <a:gs pos="50%">
              <a:schemeClr val="phClr">
                <a:tint val="98%"/>
                <a:satMod val="130%"/>
                <a:shade val="90%"/>
                <a:lumMod val="103%"/>
              </a:schemeClr>
            </a:gs>
            <a:gs pos="100%">
              <a:schemeClr val="phClr">
                <a:shade val="63%"/>
                <a:satMod val="120%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purl.oclc.org/ooxml/officeDocument/extendedProperties" xmlns:vt="http://purl.oclc.org/ooxml/officeDocument/docPropsVTypes">
  <Template>Normal.dotm</Template>
  <TotalTime>0</TotalTime>
  <Pages>3</Pages>
  <Words>511</Words>
  <Characters>2915</Characters>
  <Application>Microsoft Office Word</Application>
  <DocSecurity>0</DocSecurity>
  <Lines>24</Lines>
  <Paragraphs>6</Paragraphs>
  <ScaleCrop>false</ScaleCrop>
  <Company>Springer Nature</Company>
  <LinksUpToDate>false</LinksUpToDate>
  <CharactersWithSpaces>3420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2024-09-12T06:09:00Z</dcterms:created>
  <dcterms:modified xsi:type="dcterms:W3CDTF">2024-09-12T06:09:00Z</dcterms:modified>
</cp:coreProperties>
</file>