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90FA" w14:textId="77777777" w:rsidR="0054505E" w:rsidRPr="0054505E" w:rsidRDefault="0054505E" w:rsidP="0054505E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4505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14:ligatures w14:val="none"/>
        </w:rPr>
        <w:t>Online Resource Table 1</w:t>
      </w:r>
      <w:r w:rsidRPr="0054505E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Class-level landscape metrics for the 5 land cover classifications, that were extracted from clipped buffers surrounding camera sites at 200m, 500m, 1km, and 2km using FRAGSTATS version 4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5481"/>
        <w:gridCol w:w="1459"/>
      </w:tblGrid>
      <w:tr w:rsidR="0054505E" w:rsidRPr="0054505E" w14:paraId="07E5801A" w14:textId="77777777" w:rsidTr="0054505E">
        <w:trPr>
          <w:trHeight w:val="285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000000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BBB5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Class-level Landscape Metrics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F662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Definition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EC918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Unit</w:t>
            </w:r>
          </w:p>
        </w:tc>
      </w:tr>
      <w:tr w:rsidR="0054505E" w:rsidRPr="0054505E" w14:paraId="7E11ABB5" w14:textId="77777777" w:rsidTr="0054505E">
        <w:trPr>
          <w:trHeight w:val="285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000000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2BF5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Percentage of Landscape (PLAND)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30690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Equals the percentage of the landscape that is made up of that patch type.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F6A66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</w:t>
            </w:r>
          </w:p>
        </w:tc>
      </w:tr>
      <w:tr w:rsidR="0054505E" w:rsidRPr="0054505E" w14:paraId="76A7091F" w14:textId="77777777" w:rsidTr="0054505E">
        <w:trPr>
          <w:trHeight w:val="285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000000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4B19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Patch Area (AREA_MN)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EB9CE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 class, it is the function of number of patches and total class area. It represents the average condition.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BE65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</w:t>
            </w:r>
          </w:p>
        </w:tc>
      </w:tr>
      <w:tr w:rsidR="0054505E" w:rsidRPr="0054505E" w14:paraId="2988FF73" w14:textId="77777777" w:rsidTr="0054505E">
        <w:trPr>
          <w:trHeight w:val="285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000000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E1B4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Edge Density (m/ha) (ED)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582F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ratio between edge length and per unit area.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3D9D8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Meters per hectare</w:t>
            </w:r>
          </w:p>
        </w:tc>
      </w:tr>
      <w:tr w:rsidR="0054505E" w:rsidRPr="0054505E" w14:paraId="1CB751EF" w14:textId="77777777" w:rsidTr="0054505E">
        <w:trPr>
          <w:trHeight w:val="285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000000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994D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Patch Density (PD)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CD20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Calculates number of patches per unit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40A3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Number per hectares</w:t>
            </w:r>
          </w:p>
        </w:tc>
      </w:tr>
      <w:tr w:rsidR="0054505E" w:rsidRPr="0054505E" w14:paraId="053CB6F3" w14:textId="77777777" w:rsidTr="0054505E">
        <w:trPr>
          <w:trHeight w:val="273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000000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F174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Patch Cohesion Index (COHESION)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1BF65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 class level, it measures the physical connectedness of the patch type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82769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None</w:t>
            </w:r>
          </w:p>
        </w:tc>
      </w:tr>
      <w:tr w:rsidR="0054505E" w:rsidRPr="0054505E" w14:paraId="0F873BEB" w14:textId="77777777" w:rsidTr="0054505E">
        <w:trPr>
          <w:trHeight w:val="285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000000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3320E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Largest Patch Index (LPI)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ED88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Quantifies the percentage of total landscape area made by the largest patch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C6392" w14:textId="77777777" w:rsidR="0054505E" w:rsidRPr="0054505E" w:rsidRDefault="0054505E" w:rsidP="0054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450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</w:t>
            </w:r>
          </w:p>
          <w:p w14:paraId="58249C26" w14:textId="77777777" w:rsidR="0054505E" w:rsidRPr="0054505E" w:rsidRDefault="0054505E" w:rsidP="005450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F024085" w14:textId="77777777" w:rsidR="000D7BDF" w:rsidRDefault="000D7BDF"/>
    <w:sectPr w:rsidR="000D7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5E"/>
    <w:rsid w:val="000D7BDF"/>
    <w:rsid w:val="004D63FE"/>
    <w:rsid w:val="0054505E"/>
    <w:rsid w:val="006B4480"/>
    <w:rsid w:val="009E7022"/>
    <w:rsid w:val="00C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B9B9E"/>
  <w15:chartTrackingRefBased/>
  <w15:docId w15:val="{F638785E-3DF0-4C6F-9E62-74AA2775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0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J. Elihu</dc:creator>
  <cp:keywords/>
  <dc:description/>
  <cp:lastModifiedBy>Adrianna J. Elihu</cp:lastModifiedBy>
  <cp:revision>1</cp:revision>
  <dcterms:created xsi:type="dcterms:W3CDTF">2024-08-13T23:08:00Z</dcterms:created>
  <dcterms:modified xsi:type="dcterms:W3CDTF">2024-08-13T23:09:00Z</dcterms:modified>
</cp:coreProperties>
</file>